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6FB92" w14:textId="727926C2" w:rsidR="004345A5" w:rsidRPr="00330DFA" w:rsidRDefault="00647A3A" w:rsidP="00D93CD8">
      <w:pPr>
        <w:pStyle w:val="Subtitle"/>
        <w:spacing w:after="120"/>
      </w:pPr>
      <w:bookmarkStart w:id="0" w:name="_Hlk61950910"/>
      <w:bookmarkEnd w:id="0"/>
      <w:r>
        <w:br/>
      </w:r>
      <w:r w:rsidR="00350A47">
        <w:t>APPROPRIATIONS REQUEST &amp; JUSTIFICATION – FY 202</w:t>
      </w:r>
      <w:r w:rsidR="00561CA3">
        <w:t>2</w:t>
      </w:r>
    </w:p>
    <w:p w14:paraId="261A4D50" w14:textId="77777777" w:rsidR="00BA64F3" w:rsidRPr="00C3705E" w:rsidRDefault="00BA64F3" w:rsidP="00350A47">
      <w:pPr>
        <w:pStyle w:val="Heading1"/>
        <w:rPr>
          <w:b/>
        </w:rPr>
      </w:pPr>
      <w:r>
        <w:rPr>
          <w:b/>
        </w:rPr>
        <w:t xml:space="preserve">Protection and </w:t>
      </w:r>
      <w:r w:rsidRPr="00C3705E">
        <w:rPr>
          <w:b/>
        </w:rPr>
        <w:t>Advocacy</w:t>
      </w:r>
    </w:p>
    <w:p w14:paraId="0BD95B84" w14:textId="4E4F12A0" w:rsidR="00350A47" w:rsidRPr="00BA64F3" w:rsidRDefault="00DC71F8" w:rsidP="00350A47">
      <w:pPr>
        <w:pStyle w:val="Heading1"/>
        <w:rPr>
          <w:b/>
        </w:rPr>
      </w:pPr>
      <w:r w:rsidRPr="00C3705E">
        <w:rPr>
          <w:b/>
        </w:rPr>
        <w:t xml:space="preserve">for </w:t>
      </w:r>
      <w:r w:rsidR="00BA64F3" w:rsidRPr="00C3705E">
        <w:rPr>
          <w:b/>
        </w:rPr>
        <w:t>Individuals with</w:t>
      </w:r>
      <w:r w:rsidR="00BA64F3">
        <w:rPr>
          <w:b/>
        </w:rPr>
        <w:t xml:space="preserve"> </w:t>
      </w:r>
      <w:r w:rsidR="000A0416" w:rsidRPr="00BA64F3">
        <w:rPr>
          <w:b/>
        </w:rPr>
        <w:t>Developmental Disabilities</w:t>
      </w:r>
    </w:p>
    <w:p w14:paraId="123BFF2D" w14:textId="226DCC3C" w:rsidR="00350A47" w:rsidRPr="00330DFA" w:rsidRDefault="00350A47" w:rsidP="00350A47">
      <w:pPr>
        <w:rPr>
          <w:rFonts w:ascii="Arial" w:hAnsi="Arial" w:cs="Arial"/>
        </w:rPr>
      </w:pPr>
    </w:p>
    <w:p w14:paraId="0FD7FDFD" w14:textId="4B822241" w:rsidR="000A0416" w:rsidRDefault="00BA64F3" w:rsidP="000A0416">
      <w:pPr>
        <w:spacing w:after="240"/>
        <w:rPr>
          <w:rFonts w:ascii="Arial" w:hAnsi="Arial" w:cs="Arial"/>
        </w:rPr>
      </w:pPr>
      <w:r w:rsidRPr="00330DFA">
        <w:rPr>
          <w:rFonts w:ascii="Arial" w:hAnsi="Arial" w:cs="Arial"/>
          <w:noProof/>
        </w:rPr>
        <mc:AlternateContent>
          <mc:Choice Requires="wps">
            <w:drawing>
              <wp:anchor distT="182880" distB="182880" distL="182880" distR="182880" simplePos="0" relativeHeight="251659264" behindDoc="0" locked="0" layoutInCell="1" allowOverlap="0" wp14:anchorId="679FBB30" wp14:editId="50BA51E7">
                <wp:simplePos x="0" y="0"/>
                <wp:positionH relativeFrom="column">
                  <wp:posOffset>4902835</wp:posOffset>
                </wp:positionH>
                <wp:positionV relativeFrom="paragraph">
                  <wp:posOffset>24765</wp:posOffset>
                </wp:positionV>
                <wp:extent cx="1841500" cy="2787015"/>
                <wp:effectExtent l="0" t="0" r="0" b="0"/>
                <wp:wrapSquare wrapText="bothSides"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278701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alpha val="33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EFB8BA" w14:textId="1E3885B9" w:rsidR="00647A3A" w:rsidRPr="000A0416" w:rsidRDefault="000A0416" w:rsidP="000A0416">
                            <w:pPr>
                              <w:ind w:left="144" w:right="144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A041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PADD </w:t>
                            </w:r>
                            <w:r w:rsidR="001E144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funds essential advocacy for people </w:t>
                            </w:r>
                            <w:r w:rsidRPr="000A041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with developmental disabilities</w:t>
                            </w:r>
                            <w:r w:rsidR="001E144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, to prevent abuse and neglect and ensure access to health care, education, employment and other supports that allow them to be integrated and self-sufficient in our communities. </w:t>
                            </w:r>
                            <w:r w:rsidRPr="000A041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79FBB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6.05pt;margin-top:1.95pt;width:145pt;height:219.45pt;z-index:251659264;visibility:visible;mso-wrap-style:square;mso-width-percent:0;mso-height-percent:0;mso-wrap-distance-left:14.4pt;mso-wrap-distance-top:14.4pt;mso-wrap-distance-right:14.4pt;mso-wrap-distance-bottom:14.4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" o:allowoverlap="f" fillcolor="#cfcdcd [2894]" stroked="f" strokeweight=".5pt">
                <v:fill opacity="21588f"/>
                <v:textbox>
                  <w:txbxContent>
                    <w:p w14:paraId="13EFB8BA" w14:textId="1E3885B9" w:rsidR="00647A3A" w:rsidRPr="000A0416" w:rsidRDefault="000A0416" w:rsidP="000A0416">
                      <w:pPr>
                        <w:ind w:left="144" w:right="144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A0416">
                        <w:rPr>
                          <w:rFonts w:ascii="Arial" w:hAnsi="Arial" w:cs="Arial"/>
                          <w:b/>
                          <w:bCs/>
                        </w:rPr>
                        <w:t xml:space="preserve">PADD </w:t>
                      </w:r>
                      <w:r w:rsidR="001E144C">
                        <w:rPr>
                          <w:rFonts w:ascii="Arial" w:hAnsi="Arial" w:cs="Arial"/>
                          <w:b/>
                          <w:bCs/>
                        </w:rPr>
                        <w:t xml:space="preserve">funds essential advocacy for people </w:t>
                      </w:r>
                      <w:r w:rsidRPr="000A0416">
                        <w:rPr>
                          <w:rFonts w:ascii="Arial" w:hAnsi="Arial" w:cs="Arial"/>
                          <w:b/>
                          <w:bCs/>
                        </w:rPr>
                        <w:t>with developmental disabilities</w:t>
                      </w:r>
                      <w:r w:rsidR="001E144C">
                        <w:rPr>
                          <w:rFonts w:ascii="Arial" w:hAnsi="Arial" w:cs="Arial"/>
                          <w:b/>
                          <w:bCs/>
                        </w:rPr>
                        <w:t xml:space="preserve">, to prevent abuse and neglect and ensure access to health care, education, employment and other supports that allow them to be integrated and self-sufficient in our communities. </w:t>
                      </w:r>
                      <w:r w:rsidRPr="000A0416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71F8" w:rsidRPr="00330DFA">
        <w:rPr>
          <w:rFonts w:ascii="Arial" w:hAnsi="Arial" w:cs="Arial"/>
        </w:rPr>
        <w:t xml:space="preserve">Protection and Advocacy </w:t>
      </w:r>
      <w:r w:rsidR="000A0416" w:rsidRPr="000A0416">
        <w:rPr>
          <w:rFonts w:ascii="Arial" w:hAnsi="Arial" w:cs="Arial"/>
        </w:rPr>
        <w:t xml:space="preserve">for Individuals with Developmental Disabilities (PADD) </w:t>
      </w:r>
      <w:r w:rsidR="001E144C">
        <w:rPr>
          <w:rFonts w:ascii="Arial" w:hAnsi="Arial" w:cs="Arial"/>
        </w:rPr>
        <w:t>provides advocacy assistance to</w:t>
      </w:r>
      <w:r w:rsidR="000A0416">
        <w:rPr>
          <w:rFonts w:ascii="Arial" w:hAnsi="Arial" w:cs="Arial"/>
        </w:rPr>
        <w:t>:</w:t>
      </w:r>
      <w:r w:rsidR="000A0416" w:rsidRPr="000A0416">
        <w:rPr>
          <w:rFonts w:ascii="Arial" w:hAnsi="Arial" w:cs="Arial"/>
        </w:rPr>
        <w:t xml:space="preserve"> </w:t>
      </w:r>
    </w:p>
    <w:p w14:paraId="03D63AEC" w14:textId="6DF0BB62" w:rsidR="001E144C" w:rsidRDefault="001E144C" w:rsidP="003776CA">
      <w:pPr>
        <w:pStyle w:val="ListParagraph"/>
        <w:numPr>
          <w:ilvl w:val="0"/>
          <w:numId w:val="2"/>
        </w:numPr>
        <w:spacing w:after="240"/>
        <w:ind w:left="360"/>
        <w:rPr>
          <w:rFonts w:ascii="Arial" w:hAnsi="Arial" w:cs="Arial"/>
        </w:rPr>
      </w:pPr>
      <w:r w:rsidRPr="19186154">
        <w:rPr>
          <w:rFonts w:ascii="Arial" w:hAnsi="Arial" w:cs="Arial"/>
        </w:rPr>
        <w:t>Protect people with developmental disabilities from abuse and neglect</w:t>
      </w:r>
      <w:r w:rsidR="73020421" w:rsidRPr="19186154">
        <w:rPr>
          <w:rFonts w:ascii="Arial" w:hAnsi="Arial" w:cs="Arial"/>
        </w:rPr>
        <w:t>.</w:t>
      </w:r>
    </w:p>
    <w:p w14:paraId="05589CE9" w14:textId="2DFCF8EA" w:rsidR="000A0416" w:rsidRDefault="001E144C" w:rsidP="003776CA">
      <w:pPr>
        <w:pStyle w:val="ListParagraph"/>
        <w:numPr>
          <w:ilvl w:val="0"/>
          <w:numId w:val="2"/>
        </w:numPr>
        <w:tabs>
          <w:tab w:val="left" w:pos="360"/>
        </w:tabs>
        <w:spacing w:after="240"/>
        <w:ind w:left="360"/>
        <w:rPr>
          <w:rFonts w:ascii="Arial" w:hAnsi="Arial" w:cs="Arial"/>
        </w:rPr>
      </w:pPr>
      <w:r w:rsidRPr="19186154">
        <w:rPr>
          <w:rFonts w:ascii="Arial" w:hAnsi="Arial" w:cs="Arial"/>
        </w:rPr>
        <w:t>Monitor facilities to ensure</w:t>
      </w:r>
      <w:r w:rsidR="000A0416" w:rsidRPr="19186154">
        <w:rPr>
          <w:rFonts w:ascii="Arial" w:hAnsi="Arial" w:cs="Arial"/>
        </w:rPr>
        <w:t xml:space="preserve"> safe living conditions</w:t>
      </w:r>
      <w:r w:rsidR="1403048B" w:rsidRPr="19186154">
        <w:rPr>
          <w:rFonts w:ascii="Arial" w:hAnsi="Arial" w:cs="Arial"/>
        </w:rPr>
        <w:t>.</w:t>
      </w:r>
      <w:r w:rsidR="000A0416" w:rsidRPr="19186154">
        <w:rPr>
          <w:rFonts w:ascii="Arial" w:hAnsi="Arial" w:cs="Arial"/>
        </w:rPr>
        <w:t xml:space="preserve"> </w:t>
      </w:r>
    </w:p>
    <w:p w14:paraId="23C77FC8" w14:textId="01D9A4FF" w:rsidR="000A0416" w:rsidRPr="000A0416" w:rsidRDefault="001E144C" w:rsidP="003776CA">
      <w:pPr>
        <w:pStyle w:val="ListParagraph"/>
        <w:numPr>
          <w:ilvl w:val="0"/>
          <w:numId w:val="2"/>
        </w:numPr>
        <w:spacing w:after="240"/>
        <w:ind w:left="360"/>
        <w:rPr>
          <w:rFonts w:ascii="Arial" w:hAnsi="Arial" w:cs="Arial"/>
        </w:rPr>
      </w:pPr>
      <w:r w:rsidRPr="19186154">
        <w:rPr>
          <w:rFonts w:ascii="Arial" w:hAnsi="Arial" w:cs="Arial"/>
        </w:rPr>
        <w:t>Ensure access to community-based services and supports</w:t>
      </w:r>
      <w:r w:rsidR="00F45F55" w:rsidRPr="19186154">
        <w:rPr>
          <w:rFonts w:ascii="Arial" w:hAnsi="Arial" w:cs="Arial"/>
        </w:rPr>
        <w:t>, such as education, housing, transportation, and health care</w:t>
      </w:r>
      <w:r w:rsidR="5E2DCA42" w:rsidRPr="19186154">
        <w:rPr>
          <w:rFonts w:ascii="Arial" w:hAnsi="Arial" w:cs="Arial"/>
        </w:rPr>
        <w:t xml:space="preserve">. </w:t>
      </w:r>
      <w:r w:rsidR="00F45F55" w:rsidRPr="19186154">
        <w:rPr>
          <w:rFonts w:ascii="Arial" w:hAnsi="Arial" w:cs="Arial"/>
        </w:rPr>
        <w:t xml:space="preserve"> </w:t>
      </w:r>
    </w:p>
    <w:p w14:paraId="696E2821" w14:textId="74E5CC0C" w:rsidR="001E144C" w:rsidRDefault="001E144C" w:rsidP="000A0416">
      <w:pPr>
        <w:spacing w:after="240"/>
        <w:rPr>
          <w:rFonts w:ascii="Arial" w:hAnsi="Arial" w:cs="Arial"/>
        </w:rPr>
      </w:pPr>
      <w:r w:rsidRPr="19186154">
        <w:rPr>
          <w:rFonts w:ascii="Arial" w:hAnsi="Arial" w:cs="Arial"/>
          <w:b/>
          <w:bCs/>
          <w:u w:val="single"/>
        </w:rPr>
        <w:t>Background</w:t>
      </w:r>
      <w:r>
        <w:br/>
      </w:r>
      <w:r w:rsidR="00EE5D24">
        <w:rPr>
          <w:rFonts w:ascii="Arial" w:hAnsi="Arial" w:cs="Arial"/>
        </w:rPr>
        <w:t xml:space="preserve">In FY 21, Congress recognized the positive impact of the PADD program and the desperate need for additional funding and funded the program at </w:t>
      </w:r>
      <w:r w:rsidRPr="19186154">
        <w:rPr>
          <w:rFonts w:ascii="Arial" w:hAnsi="Arial" w:cs="Arial"/>
        </w:rPr>
        <w:t>$41</w:t>
      </w:r>
      <w:r w:rsidR="007E0B46">
        <w:rPr>
          <w:rFonts w:ascii="Arial" w:hAnsi="Arial" w:cs="Arial"/>
        </w:rPr>
        <w:t>.8</w:t>
      </w:r>
      <w:r w:rsidRPr="19186154">
        <w:rPr>
          <w:rFonts w:ascii="Arial" w:hAnsi="Arial" w:cs="Arial"/>
        </w:rPr>
        <w:t xml:space="preserve"> million</w:t>
      </w:r>
      <w:r w:rsidR="00EE5D24">
        <w:rPr>
          <w:rFonts w:ascii="Arial" w:hAnsi="Arial" w:cs="Arial"/>
        </w:rPr>
        <w:t>.</w:t>
      </w:r>
      <w:r w:rsidRPr="19186154">
        <w:rPr>
          <w:rFonts w:ascii="Arial" w:hAnsi="Arial" w:cs="Arial"/>
        </w:rPr>
        <w:t xml:space="preserve"> </w:t>
      </w:r>
      <w:r w:rsidR="00EE5D24">
        <w:rPr>
          <w:rFonts w:ascii="Arial" w:hAnsi="Arial" w:cs="Arial"/>
        </w:rPr>
        <w:t xml:space="preserve">This increase still </w:t>
      </w:r>
      <w:r w:rsidRPr="19186154">
        <w:rPr>
          <w:rFonts w:ascii="Arial" w:hAnsi="Arial" w:cs="Arial"/>
        </w:rPr>
        <w:t xml:space="preserve">falls far short from meeting the demands for assistance from </w:t>
      </w:r>
      <w:r w:rsidR="00F2755D" w:rsidRPr="19186154">
        <w:rPr>
          <w:rFonts w:ascii="Arial" w:hAnsi="Arial" w:cs="Arial"/>
        </w:rPr>
        <w:t xml:space="preserve">children and adults </w:t>
      </w:r>
      <w:r w:rsidRPr="19186154">
        <w:rPr>
          <w:rFonts w:ascii="Arial" w:hAnsi="Arial" w:cs="Arial"/>
        </w:rPr>
        <w:t>with developmental disabilities</w:t>
      </w:r>
      <w:r w:rsidR="00D96D38">
        <w:rPr>
          <w:rFonts w:ascii="Arial" w:hAnsi="Arial" w:cs="Arial"/>
        </w:rPr>
        <w:t xml:space="preserve">. </w:t>
      </w:r>
      <w:r w:rsidR="00F2755D" w:rsidRPr="19186154">
        <w:rPr>
          <w:rFonts w:ascii="Arial" w:hAnsi="Arial" w:cs="Arial"/>
        </w:rPr>
        <w:t xml:space="preserve">PADD program funding is administered by the U.S Department of Health and Human Services (HHS), Administration </w:t>
      </w:r>
      <w:r w:rsidR="00286A8B">
        <w:rPr>
          <w:rFonts w:ascii="Arial" w:hAnsi="Arial" w:cs="Arial"/>
        </w:rPr>
        <w:t>for</w:t>
      </w:r>
      <w:r w:rsidR="00F2755D" w:rsidRPr="19186154">
        <w:rPr>
          <w:rFonts w:ascii="Arial" w:hAnsi="Arial" w:cs="Arial"/>
        </w:rPr>
        <w:t xml:space="preserve"> Community Living, </w:t>
      </w:r>
      <w:proofErr w:type="gramStart"/>
      <w:r w:rsidR="00F2755D" w:rsidRPr="19186154">
        <w:rPr>
          <w:rFonts w:ascii="Arial" w:hAnsi="Arial" w:cs="Arial"/>
        </w:rPr>
        <w:t>Administration</w:t>
      </w:r>
      <w:proofErr w:type="gramEnd"/>
      <w:r w:rsidR="00F2755D" w:rsidRPr="19186154">
        <w:rPr>
          <w:rFonts w:ascii="Arial" w:hAnsi="Arial" w:cs="Arial"/>
        </w:rPr>
        <w:t xml:space="preserve"> on Disabilities</w:t>
      </w:r>
      <w:r w:rsidR="00C3705E">
        <w:rPr>
          <w:rFonts w:ascii="Arial" w:hAnsi="Arial" w:cs="Arial"/>
        </w:rPr>
        <w:t>.</w:t>
      </w:r>
    </w:p>
    <w:p w14:paraId="27547ABE" w14:textId="4414392F" w:rsidR="00D96D38" w:rsidRPr="00D96D38" w:rsidRDefault="00F2755D" w:rsidP="00D96D38">
      <w:pPr>
        <w:spacing w:after="240"/>
        <w:rPr>
          <w:rFonts w:ascii="Arial" w:hAnsi="Arial" w:cs="Arial"/>
        </w:rPr>
      </w:pPr>
      <w:r w:rsidRPr="00F45F55">
        <w:rPr>
          <w:rFonts w:ascii="Arial" w:hAnsi="Arial" w:cs="Arial"/>
          <w:b/>
          <w:bCs/>
          <w:u w:val="single"/>
        </w:rPr>
        <w:t>Request</w:t>
      </w:r>
      <w:r>
        <w:rPr>
          <w:rFonts w:ascii="Arial" w:hAnsi="Arial" w:cs="Arial"/>
        </w:rPr>
        <w:br/>
      </w:r>
      <w:r w:rsidR="000A0416" w:rsidRPr="000A0416">
        <w:rPr>
          <w:rFonts w:ascii="Arial" w:hAnsi="Arial" w:cs="Arial"/>
        </w:rPr>
        <w:t xml:space="preserve">The PADD program </w:t>
      </w:r>
      <w:r>
        <w:rPr>
          <w:rFonts w:ascii="Arial" w:hAnsi="Arial" w:cs="Arial"/>
        </w:rPr>
        <w:t>is</w:t>
      </w:r>
      <w:r w:rsidR="000A0416" w:rsidRPr="000A0416">
        <w:rPr>
          <w:rFonts w:ascii="Arial" w:hAnsi="Arial" w:cs="Arial"/>
        </w:rPr>
        <w:t xml:space="preserve"> highly successful but limited by current resources.</w:t>
      </w:r>
      <w:r w:rsidR="008E1901">
        <w:rPr>
          <w:rFonts w:ascii="Arial" w:hAnsi="Arial" w:cs="Arial"/>
        </w:rPr>
        <w:t xml:space="preserve"> </w:t>
      </w:r>
      <w:r w:rsidR="005B748C">
        <w:rPr>
          <w:rFonts w:ascii="Arial" w:hAnsi="Arial" w:cs="Arial"/>
        </w:rPr>
        <w:t>The Network urges</w:t>
      </w:r>
      <w:r w:rsidR="008E1901">
        <w:rPr>
          <w:rFonts w:ascii="Arial" w:hAnsi="Arial" w:cs="Arial"/>
        </w:rPr>
        <w:t xml:space="preserve"> Congress to build off the FY 21 increase as</w:t>
      </w:r>
      <w:r w:rsidR="000A0416" w:rsidRPr="000A0416">
        <w:rPr>
          <w:rFonts w:ascii="Arial" w:hAnsi="Arial" w:cs="Arial"/>
        </w:rPr>
        <w:t xml:space="preserve"> </w:t>
      </w:r>
      <w:r w:rsidR="008E1901">
        <w:rPr>
          <w:rFonts w:ascii="Arial" w:hAnsi="Arial" w:cs="Arial"/>
        </w:rPr>
        <w:t>a</w:t>
      </w:r>
      <w:r w:rsidRPr="000A0416">
        <w:rPr>
          <w:rFonts w:ascii="Arial" w:hAnsi="Arial" w:cs="Arial"/>
        </w:rPr>
        <w:t>dditional funding is critical</w:t>
      </w:r>
      <w:r w:rsidRPr="000A0416" w:rsidDel="00F275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0A0416" w:rsidRPr="000A0416">
        <w:rPr>
          <w:rFonts w:ascii="Arial" w:hAnsi="Arial" w:cs="Arial"/>
        </w:rPr>
        <w:t>o meet the</w:t>
      </w:r>
      <w:r>
        <w:rPr>
          <w:rFonts w:ascii="Arial" w:hAnsi="Arial" w:cs="Arial"/>
        </w:rPr>
        <w:t xml:space="preserve"> program directives </w:t>
      </w:r>
      <w:r w:rsidR="000A0416" w:rsidRPr="000A0416">
        <w:rPr>
          <w:rFonts w:ascii="Arial" w:hAnsi="Arial" w:cs="Arial"/>
        </w:rPr>
        <w:t xml:space="preserve">and </w:t>
      </w:r>
      <w:r w:rsidR="00A1635B">
        <w:rPr>
          <w:rFonts w:ascii="Arial" w:hAnsi="Arial" w:cs="Arial"/>
        </w:rPr>
        <w:t>provide the specialized advocacy</w:t>
      </w:r>
      <w:r w:rsidR="000A0416" w:rsidRPr="000A0416">
        <w:rPr>
          <w:rFonts w:ascii="Arial" w:hAnsi="Arial" w:cs="Arial"/>
        </w:rPr>
        <w:t xml:space="preserve"> </w:t>
      </w:r>
      <w:r w:rsidR="00A1635B">
        <w:rPr>
          <w:rFonts w:ascii="Arial" w:hAnsi="Arial" w:cs="Arial"/>
        </w:rPr>
        <w:t xml:space="preserve">services </w:t>
      </w:r>
      <w:r>
        <w:rPr>
          <w:rFonts w:ascii="Arial" w:hAnsi="Arial" w:cs="Arial"/>
        </w:rPr>
        <w:t xml:space="preserve">people </w:t>
      </w:r>
      <w:r w:rsidR="000A0416" w:rsidRPr="000A0416">
        <w:rPr>
          <w:rFonts w:ascii="Arial" w:hAnsi="Arial" w:cs="Arial"/>
        </w:rPr>
        <w:t>with developmental disabilities</w:t>
      </w:r>
      <w:r w:rsidR="00A1635B">
        <w:rPr>
          <w:rFonts w:ascii="Arial" w:hAnsi="Arial" w:cs="Arial"/>
        </w:rPr>
        <w:t xml:space="preserve"> need</w:t>
      </w:r>
      <w:r w:rsidR="000A0416" w:rsidRPr="000A041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736F2">
        <w:rPr>
          <w:rFonts w:ascii="Arial" w:hAnsi="Arial" w:cs="Arial"/>
        </w:rPr>
        <w:tab/>
      </w:r>
      <w:r w:rsidR="00D736F2">
        <w:rPr>
          <w:rFonts w:ascii="Arial" w:hAnsi="Arial" w:cs="Arial"/>
        </w:rPr>
        <w:tab/>
      </w:r>
    </w:p>
    <w:p w14:paraId="19EBC011" w14:textId="77777777" w:rsidR="003B193F" w:rsidRDefault="00FD55C4" w:rsidP="003B193F">
      <w:pPr>
        <w:keepNext/>
        <w:spacing w:after="240"/>
        <w:jc w:val="center"/>
      </w:pPr>
      <w:r w:rsidRPr="008322CD">
        <w:rPr>
          <w:rFonts w:ascii="Arial" w:hAnsi="Arial" w:cs="Arial"/>
          <w:noProof/>
          <w:color w:val="65125D"/>
        </w:rPr>
        <w:drawing>
          <wp:inline distT="0" distB="0" distL="0" distR="0" wp14:anchorId="6495B932" wp14:editId="266E13B2">
            <wp:extent cx="5433060" cy="1554480"/>
            <wp:effectExtent l="0" t="0" r="15240" b="7620"/>
            <wp:docPr id="13" name="Chart 13" descr="Line graph displaying PADD program appropriations funding and the inflation rate over the past fiscal years. &#10;&#10;The graph displays the following five data sets in millions:&#10;&#10;In 2013 PADD funding was $38.62 while the adjusted inflation rate was $41.56.&#10;&#10;In 2015 PADD funding was $38.73 while the adjusted inflation rate was $42.77.&#10;&#10;In 2017 PADD funding was $38.73 while the adjusted inflation rate was $43.42.&#10;&#10;In 2019 PADD funding was $40.73 while the adjusted inflation rate was $45.39.&#10;&#10;In 2021 PADD funding was $41.48 while the adjusted inflation rate was $46.81.&#10;&#10;&#10;&#10;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E91691F" w14:textId="62D2FC67" w:rsidR="003B193F" w:rsidRPr="00AC74DE" w:rsidRDefault="003B193F" w:rsidP="003B193F">
      <w:pPr>
        <w:pStyle w:val="Caption"/>
        <w:jc w:val="right"/>
        <w:rPr>
          <w:rFonts w:ascii="Arial" w:hAnsi="Arial" w:cs="Arial"/>
          <w:color w:val="auto"/>
        </w:rPr>
      </w:pPr>
      <w:r w:rsidRPr="00AC74DE">
        <w:rPr>
          <w:rFonts w:ascii="Arial" w:hAnsi="Arial" w:cs="Arial"/>
          <w:color w:val="auto"/>
        </w:rPr>
        <w:t>*Displayed in Millions</w:t>
      </w:r>
    </w:p>
    <w:p w14:paraId="4804AFFB" w14:textId="614DF754" w:rsidR="00DA0515" w:rsidRPr="005B748C" w:rsidRDefault="00350A47" w:rsidP="00FD55C4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5B748C">
        <w:rPr>
          <w:rFonts w:ascii="Arial" w:hAnsi="Arial" w:cs="Arial"/>
          <w:b/>
          <w:bCs/>
          <w:sz w:val="28"/>
          <w:szCs w:val="28"/>
        </w:rPr>
        <w:t>NDRN</w:t>
      </w:r>
      <w:r w:rsidR="00352488">
        <w:rPr>
          <w:rFonts w:ascii="Arial" w:hAnsi="Arial" w:cs="Arial"/>
          <w:b/>
          <w:bCs/>
          <w:sz w:val="28"/>
          <w:szCs w:val="28"/>
        </w:rPr>
        <w:t xml:space="preserve"> </w:t>
      </w:r>
      <w:r w:rsidRPr="005B748C">
        <w:rPr>
          <w:rFonts w:ascii="Arial" w:hAnsi="Arial" w:cs="Arial"/>
          <w:b/>
          <w:bCs/>
          <w:sz w:val="28"/>
          <w:szCs w:val="28"/>
        </w:rPr>
        <w:t>recommends a funding level of $</w:t>
      </w:r>
      <w:r w:rsidR="00286A8B">
        <w:rPr>
          <w:rFonts w:ascii="Arial" w:hAnsi="Arial" w:cs="Arial"/>
          <w:b/>
          <w:bCs/>
          <w:sz w:val="28"/>
          <w:szCs w:val="28"/>
        </w:rPr>
        <w:t>45</w:t>
      </w:r>
      <w:bookmarkStart w:id="1" w:name="_GoBack"/>
      <w:bookmarkEnd w:id="1"/>
      <w:r w:rsidR="000A0416" w:rsidRPr="005B748C">
        <w:rPr>
          <w:rFonts w:ascii="Arial" w:hAnsi="Arial" w:cs="Arial"/>
          <w:b/>
          <w:bCs/>
          <w:sz w:val="28"/>
          <w:szCs w:val="28"/>
        </w:rPr>
        <w:t xml:space="preserve"> </w:t>
      </w:r>
      <w:r w:rsidRPr="005B748C">
        <w:rPr>
          <w:rFonts w:ascii="Arial" w:hAnsi="Arial" w:cs="Arial"/>
          <w:b/>
          <w:bCs/>
          <w:sz w:val="28"/>
          <w:szCs w:val="28"/>
        </w:rPr>
        <w:t>million</w:t>
      </w:r>
      <w:r w:rsidR="000A0416" w:rsidRPr="005B748C">
        <w:rPr>
          <w:rFonts w:ascii="Arial" w:hAnsi="Arial" w:cs="Arial"/>
          <w:b/>
          <w:bCs/>
          <w:sz w:val="28"/>
          <w:szCs w:val="28"/>
        </w:rPr>
        <w:t xml:space="preserve"> for Fiscal Year 202</w:t>
      </w:r>
      <w:r w:rsidR="00DA0515" w:rsidRPr="005B748C">
        <w:rPr>
          <w:rFonts w:ascii="Arial" w:hAnsi="Arial" w:cs="Arial"/>
          <w:b/>
          <w:bCs/>
          <w:sz w:val="28"/>
          <w:szCs w:val="28"/>
        </w:rPr>
        <w:t>2</w:t>
      </w:r>
    </w:p>
    <w:sectPr w:rsidR="00DA0515" w:rsidRPr="005B748C" w:rsidSect="00BA64F3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C1624" w14:textId="77777777" w:rsidR="005A2D4A" w:rsidRDefault="005A2D4A" w:rsidP="00350A47">
      <w:r>
        <w:separator/>
      </w:r>
    </w:p>
  </w:endnote>
  <w:endnote w:type="continuationSeparator" w:id="0">
    <w:p w14:paraId="4DC0D8B2" w14:textId="77777777" w:rsidR="005A2D4A" w:rsidRDefault="005A2D4A" w:rsidP="0035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9186154" w14:paraId="65E80DF3" w14:textId="77777777" w:rsidTr="005970DD">
      <w:tc>
        <w:tcPr>
          <w:tcW w:w="3360" w:type="dxa"/>
        </w:tcPr>
        <w:p w14:paraId="0D89F4DE" w14:textId="5FF5E56F" w:rsidR="19186154" w:rsidRDefault="19186154" w:rsidP="19186154">
          <w:pPr>
            <w:pStyle w:val="Header"/>
            <w:ind w:left="-115"/>
          </w:pPr>
        </w:p>
      </w:tc>
      <w:tc>
        <w:tcPr>
          <w:tcW w:w="3360" w:type="dxa"/>
        </w:tcPr>
        <w:p w14:paraId="67DE5351" w14:textId="3E52EE93" w:rsidR="19186154" w:rsidRDefault="19186154" w:rsidP="19186154">
          <w:pPr>
            <w:pStyle w:val="Header"/>
            <w:jc w:val="center"/>
          </w:pPr>
        </w:p>
      </w:tc>
      <w:tc>
        <w:tcPr>
          <w:tcW w:w="3360" w:type="dxa"/>
        </w:tcPr>
        <w:p w14:paraId="0CF8DC60" w14:textId="7F2EBCF6" w:rsidR="19186154" w:rsidRDefault="19186154" w:rsidP="19186154">
          <w:pPr>
            <w:pStyle w:val="Header"/>
            <w:ind w:right="-115"/>
            <w:jc w:val="right"/>
          </w:pPr>
        </w:p>
      </w:tc>
    </w:tr>
  </w:tbl>
  <w:p w14:paraId="2FE69162" w14:textId="41CE1A1C" w:rsidR="19186154" w:rsidRDefault="19186154" w:rsidP="191861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44CAD" w14:textId="77777777" w:rsidR="003776CA" w:rsidRPr="00976B0F" w:rsidRDefault="003776CA" w:rsidP="003776CA">
    <w:pPr>
      <w:tabs>
        <w:tab w:val="center" w:pos="4680"/>
        <w:tab w:val="right" w:pos="9360"/>
      </w:tabs>
      <w:rPr>
        <w:rFonts w:ascii="Arial" w:hAnsi="Arial" w:cs="Arial"/>
      </w:rPr>
    </w:pPr>
    <w:r>
      <w:rPr>
        <w:rFonts w:ascii="Arial" w:hAnsi="Arial" w:cs="Arial"/>
      </w:rPr>
      <w:t>F</w:t>
    </w:r>
    <w:r w:rsidRPr="00976B0F">
      <w:rPr>
        <w:rFonts w:ascii="Arial" w:hAnsi="Arial" w:cs="Arial"/>
      </w:rPr>
      <w:t>or more information, please contact Cyrus Huncharek at (202) 408-9514 or</w:t>
    </w:r>
  </w:p>
  <w:p w14:paraId="591E5ECA" w14:textId="77777777" w:rsidR="003776CA" w:rsidRPr="00976B0F" w:rsidRDefault="00286A8B" w:rsidP="003776CA">
    <w:pPr>
      <w:tabs>
        <w:tab w:val="center" w:pos="4680"/>
        <w:tab w:val="right" w:pos="9360"/>
      </w:tabs>
      <w:rPr>
        <w:rFonts w:ascii="Arial" w:hAnsi="Arial" w:cs="Arial"/>
      </w:rPr>
    </w:pPr>
    <w:hyperlink r:id="rId1" w:history="1">
      <w:r w:rsidR="003776CA" w:rsidRPr="00976B0F">
        <w:rPr>
          <w:rFonts w:ascii="Arial" w:hAnsi="Arial" w:cs="Arial"/>
          <w:color w:val="0563C1" w:themeColor="hyperlink"/>
          <w:u w:val="single"/>
        </w:rPr>
        <w:t>Cyrus.Huncharek@ndrn.org</w:t>
      </w:r>
    </w:hyperlink>
    <w:r w:rsidR="003776CA" w:rsidRPr="00976B0F">
      <w:rPr>
        <w:rFonts w:ascii="Arial" w:hAnsi="Arial" w:cs="Arial"/>
      </w:rPr>
      <w:t xml:space="preserve">. </w:t>
    </w:r>
  </w:p>
  <w:p w14:paraId="43804A04" w14:textId="77777777" w:rsidR="003776CA" w:rsidRDefault="003776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89A69" w14:textId="77777777" w:rsidR="005A2D4A" w:rsidRDefault="005A2D4A" w:rsidP="00350A47">
      <w:r>
        <w:separator/>
      </w:r>
    </w:p>
  </w:footnote>
  <w:footnote w:type="continuationSeparator" w:id="0">
    <w:p w14:paraId="0027E8C2" w14:textId="77777777" w:rsidR="005A2D4A" w:rsidRDefault="005A2D4A" w:rsidP="00350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3B55B" w14:textId="561ADEC0" w:rsidR="00350A47" w:rsidRDefault="00350A47" w:rsidP="00350A47">
    <w:pPr>
      <w:pStyle w:val="Header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4342E" w14:textId="468DC64F" w:rsidR="00BA64F3" w:rsidRDefault="00EB247B">
    <w:pPr>
      <w:pStyle w:val="Header"/>
    </w:pPr>
    <w:r>
      <w:rPr>
        <w:noProof/>
      </w:rPr>
      <w:drawing>
        <wp:inline distT="0" distB="0" distL="0" distR="0" wp14:anchorId="47FDAB20" wp14:editId="699AD013">
          <wp:extent cx="3422015" cy="942975"/>
          <wp:effectExtent l="0" t="0" r="6985" b="9525"/>
          <wp:docPr id="15" name="Picture 15" descr="NDR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NDR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201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3728B"/>
    <w:multiLevelType w:val="hybridMultilevel"/>
    <w:tmpl w:val="4476F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62BA3"/>
    <w:multiLevelType w:val="hybridMultilevel"/>
    <w:tmpl w:val="8606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F8"/>
    <w:rsid w:val="00034C2E"/>
    <w:rsid w:val="00035EEF"/>
    <w:rsid w:val="00052633"/>
    <w:rsid w:val="00061224"/>
    <w:rsid w:val="00070CA6"/>
    <w:rsid w:val="000A0416"/>
    <w:rsid w:val="000A6DA0"/>
    <w:rsid w:val="000B311E"/>
    <w:rsid w:val="000B7750"/>
    <w:rsid w:val="000D3111"/>
    <w:rsid w:val="000D4EA4"/>
    <w:rsid w:val="001016B2"/>
    <w:rsid w:val="00131E35"/>
    <w:rsid w:val="001342B4"/>
    <w:rsid w:val="001467EC"/>
    <w:rsid w:val="0018197E"/>
    <w:rsid w:val="001A3454"/>
    <w:rsid w:val="001A4CAA"/>
    <w:rsid w:val="001B0576"/>
    <w:rsid w:val="001C5169"/>
    <w:rsid w:val="001E144C"/>
    <w:rsid w:val="001F0598"/>
    <w:rsid w:val="002251B9"/>
    <w:rsid w:val="00281E5A"/>
    <w:rsid w:val="00286A8B"/>
    <w:rsid w:val="00291D74"/>
    <w:rsid w:val="002922C7"/>
    <w:rsid w:val="002A3EA8"/>
    <w:rsid w:val="002A7191"/>
    <w:rsid w:val="002C167A"/>
    <w:rsid w:val="002F335A"/>
    <w:rsid w:val="002F34AD"/>
    <w:rsid w:val="00322497"/>
    <w:rsid w:val="00324D78"/>
    <w:rsid w:val="00330DFA"/>
    <w:rsid w:val="00350A47"/>
    <w:rsid w:val="00352488"/>
    <w:rsid w:val="00360DC1"/>
    <w:rsid w:val="00367AC9"/>
    <w:rsid w:val="003776CA"/>
    <w:rsid w:val="00393B0B"/>
    <w:rsid w:val="003B193F"/>
    <w:rsid w:val="004345A5"/>
    <w:rsid w:val="00440CDF"/>
    <w:rsid w:val="00461378"/>
    <w:rsid w:val="004D61E5"/>
    <w:rsid w:val="00510496"/>
    <w:rsid w:val="00515105"/>
    <w:rsid w:val="00520CD7"/>
    <w:rsid w:val="00541A22"/>
    <w:rsid w:val="00551238"/>
    <w:rsid w:val="00561CA3"/>
    <w:rsid w:val="005970DD"/>
    <w:rsid w:val="005A2D4A"/>
    <w:rsid w:val="005B748C"/>
    <w:rsid w:val="005C03C5"/>
    <w:rsid w:val="00617912"/>
    <w:rsid w:val="00647A3A"/>
    <w:rsid w:val="00676D26"/>
    <w:rsid w:val="006776DE"/>
    <w:rsid w:val="00684011"/>
    <w:rsid w:val="00694FFC"/>
    <w:rsid w:val="006B1403"/>
    <w:rsid w:val="006B50A3"/>
    <w:rsid w:val="006B707B"/>
    <w:rsid w:val="006D4E9F"/>
    <w:rsid w:val="006E0BBC"/>
    <w:rsid w:val="00701F0E"/>
    <w:rsid w:val="0072317D"/>
    <w:rsid w:val="0073174D"/>
    <w:rsid w:val="007420B6"/>
    <w:rsid w:val="007641D7"/>
    <w:rsid w:val="00774E1A"/>
    <w:rsid w:val="007B5785"/>
    <w:rsid w:val="007C15FB"/>
    <w:rsid w:val="007D1FFE"/>
    <w:rsid w:val="007E0B46"/>
    <w:rsid w:val="00804F21"/>
    <w:rsid w:val="008322CD"/>
    <w:rsid w:val="0086008F"/>
    <w:rsid w:val="008861C2"/>
    <w:rsid w:val="008C4722"/>
    <w:rsid w:val="008E1901"/>
    <w:rsid w:val="0091398A"/>
    <w:rsid w:val="0096779B"/>
    <w:rsid w:val="009762AB"/>
    <w:rsid w:val="00976B0F"/>
    <w:rsid w:val="00992462"/>
    <w:rsid w:val="009B0ABA"/>
    <w:rsid w:val="009F3C6E"/>
    <w:rsid w:val="00A1635B"/>
    <w:rsid w:val="00A2329B"/>
    <w:rsid w:val="00A34655"/>
    <w:rsid w:val="00A4569E"/>
    <w:rsid w:val="00A47ED5"/>
    <w:rsid w:val="00A95DE3"/>
    <w:rsid w:val="00AA5010"/>
    <w:rsid w:val="00AB130B"/>
    <w:rsid w:val="00AC74DE"/>
    <w:rsid w:val="00B331B1"/>
    <w:rsid w:val="00B4029E"/>
    <w:rsid w:val="00B57E06"/>
    <w:rsid w:val="00B77CFE"/>
    <w:rsid w:val="00BA64F3"/>
    <w:rsid w:val="00BC7651"/>
    <w:rsid w:val="00BD3ED4"/>
    <w:rsid w:val="00C27219"/>
    <w:rsid w:val="00C3705E"/>
    <w:rsid w:val="00C531DF"/>
    <w:rsid w:val="00C629A1"/>
    <w:rsid w:val="00C854E7"/>
    <w:rsid w:val="00C94438"/>
    <w:rsid w:val="00CD100C"/>
    <w:rsid w:val="00CE1C6A"/>
    <w:rsid w:val="00D34BB3"/>
    <w:rsid w:val="00D46F66"/>
    <w:rsid w:val="00D736F2"/>
    <w:rsid w:val="00D7622D"/>
    <w:rsid w:val="00D8076D"/>
    <w:rsid w:val="00D93CD8"/>
    <w:rsid w:val="00D96D38"/>
    <w:rsid w:val="00DA0515"/>
    <w:rsid w:val="00DC71F8"/>
    <w:rsid w:val="00DE6F1C"/>
    <w:rsid w:val="00E37ACF"/>
    <w:rsid w:val="00EB247B"/>
    <w:rsid w:val="00EE5D24"/>
    <w:rsid w:val="00F02BB8"/>
    <w:rsid w:val="00F2755D"/>
    <w:rsid w:val="00F45F55"/>
    <w:rsid w:val="00F51A99"/>
    <w:rsid w:val="00F816B9"/>
    <w:rsid w:val="00F82073"/>
    <w:rsid w:val="00F872A2"/>
    <w:rsid w:val="00FA0AE2"/>
    <w:rsid w:val="00FA200E"/>
    <w:rsid w:val="00FD55C4"/>
    <w:rsid w:val="1403048B"/>
    <w:rsid w:val="19186154"/>
    <w:rsid w:val="29E97803"/>
    <w:rsid w:val="5E2DCA42"/>
    <w:rsid w:val="6BE52224"/>
    <w:rsid w:val="73020421"/>
    <w:rsid w:val="7F5D8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0DA919"/>
  <w15:chartTrackingRefBased/>
  <w15:docId w15:val="{1D50E122-CFDA-47BF-818E-11E19314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DF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A47"/>
    <w:pPr>
      <w:outlineLvl w:val="0"/>
    </w:pPr>
    <w:rPr>
      <w:rFonts w:ascii="Arial" w:hAnsi="Arial" w:cs="Arial"/>
      <w:color w:val="65125D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C71F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50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A47"/>
  </w:style>
  <w:style w:type="paragraph" w:styleId="Footer">
    <w:name w:val="footer"/>
    <w:basedOn w:val="Normal"/>
    <w:link w:val="FooterChar"/>
    <w:uiPriority w:val="99"/>
    <w:unhideWhenUsed/>
    <w:rsid w:val="00350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A47"/>
  </w:style>
  <w:style w:type="character" w:customStyle="1" w:styleId="Heading1Char">
    <w:name w:val="Heading 1 Char"/>
    <w:basedOn w:val="DefaultParagraphFont"/>
    <w:link w:val="Heading1"/>
    <w:uiPriority w:val="9"/>
    <w:rsid w:val="00350A47"/>
    <w:rPr>
      <w:rFonts w:ascii="Arial" w:hAnsi="Arial" w:cs="Arial"/>
      <w:color w:val="65125D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A47"/>
    <w:rPr>
      <w:rFonts w:ascii="Arial" w:hAnsi="Arial" w:cs="Arial"/>
      <w:b/>
      <w:bCs/>
      <w:color w:val="3B3838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rsid w:val="00350A47"/>
    <w:rPr>
      <w:rFonts w:ascii="Arial" w:hAnsi="Arial" w:cs="Arial"/>
      <w:b/>
      <w:bCs/>
      <w:color w:val="3B3838" w:themeColor="background2" w:themeShade="40"/>
    </w:rPr>
  </w:style>
  <w:style w:type="table" w:styleId="TableGrid">
    <w:name w:val="Table Grid"/>
    <w:basedOn w:val="TableNormal"/>
    <w:uiPriority w:val="39"/>
    <w:rsid w:val="0033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0D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041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041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F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F0E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0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B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B4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B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7191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531DF"/>
    <w:pPr>
      <w:spacing w:after="200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4E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4E1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4E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yrus.Huncharek@ndrn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The disparity between </a:t>
            </a:r>
            <a:r>
              <a:rPr lang="en-US" sz="1200" b="1">
                <a:solidFill>
                  <a:srgbClr val="0066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PADD funding </a:t>
            </a:r>
            <a:r>
              <a:rPr lang="en-US" sz="1200" b="1">
                <a:solidFill>
                  <a:sysClr val="windowText" lastClr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and</a:t>
            </a:r>
            <a:r>
              <a:rPr lang="en-US" sz="1200" b="1">
                <a:effectLst/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US" sz="1200" b="1">
                <a:solidFill>
                  <a:srgbClr val="65125D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US Inflation </a:t>
            </a:r>
            <a:r>
              <a:rPr lang="en-US" sz="1200" b="1">
                <a:solidFill>
                  <a:sysClr val="windowText" lastClr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continues to increase</a:t>
            </a:r>
            <a:r>
              <a:rPr lang="en-US" sz="1200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*</a:t>
            </a:r>
            <a:endParaRPr lang="en-US" sz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1671575502571295"/>
          <c:y val="6.5359477124183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466315483355601"/>
          <c:y val="0.2197368421052632"/>
          <c:w val="0.80614552388525063"/>
          <c:h val="0.61068517751070595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Appropriations</c:v>
                </c:pt>
              </c:strCache>
            </c:strRef>
          </c:tx>
          <c:spPr>
            <a:ln w="28575" cap="rnd">
              <a:solidFill>
                <a:srgbClr val="000000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rgbClr val="006600"/>
              </a:solidFill>
              <a:ln w="9525">
                <a:noFill/>
              </a:ln>
              <a:effectLst/>
            </c:spPr>
          </c:marker>
          <c:dPt>
            <c:idx val="1"/>
            <c:marker>
              <c:symbol val="circle"/>
              <c:size val="6"/>
              <c:spPr>
                <a:solidFill>
                  <a:srgbClr val="006600"/>
                </a:solidFill>
                <a:ln w="9525">
                  <a:noFill/>
                </a:ln>
                <a:effectLst/>
              </c:spPr>
            </c:marker>
            <c:bubble3D val="0"/>
            <c:spPr>
              <a:ln w="28575" cap="rnd">
                <a:solidFill>
                  <a:srgbClr val="0066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CF9D-443D-AB43-E3FC7AA3DDB5}"/>
              </c:ext>
            </c:extLst>
          </c:dPt>
          <c:dPt>
            <c:idx val="2"/>
            <c:marker>
              <c:symbol val="circle"/>
              <c:size val="6"/>
              <c:spPr>
                <a:solidFill>
                  <a:srgbClr val="006600"/>
                </a:solidFill>
                <a:ln w="9525">
                  <a:noFill/>
                </a:ln>
                <a:effectLst/>
              </c:spPr>
            </c:marker>
            <c:bubble3D val="0"/>
            <c:spPr>
              <a:ln w="28575" cap="rnd">
                <a:solidFill>
                  <a:srgbClr val="0066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6F12-4CD1-9307-E56016A926FF}"/>
              </c:ext>
            </c:extLst>
          </c:dPt>
          <c:dPt>
            <c:idx val="3"/>
            <c:marker>
              <c:symbol val="circle"/>
              <c:size val="6"/>
              <c:spPr>
                <a:solidFill>
                  <a:srgbClr val="006600"/>
                </a:solidFill>
                <a:ln w="9525">
                  <a:noFill/>
                </a:ln>
                <a:effectLst/>
              </c:spPr>
            </c:marker>
            <c:bubble3D val="0"/>
            <c:spPr>
              <a:ln w="28575" cap="rnd">
                <a:solidFill>
                  <a:srgbClr val="0066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E37C-46BE-8EF5-3D607EFDA7AF}"/>
              </c:ext>
            </c:extLst>
          </c:dPt>
          <c:dPt>
            <c:idx val="4"/>
            <c:marker>
              <c:symbol val="circle"/>
              <c:size val="6"/>
              <c:spPr>
                <a:solidFill>
                  <a:srgbClr val="006600"/>
                </a:solidFill>
                <a:ln w="9525">
                  <a:noFill/>
                </a:ln>
                <a:effectLst/>
              </c:spPr>
            </c:marker>
            <c:bubble3D val="0"/>
            <c:spPr>
              <a:ln w="28575" cap="rnd">
                <a:solidFill>
                  <a:srgbClr val="0066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C-E37C-46BE-8EF5-3D607EFDA7AF}"/>
              </c:ext>
            </c:extLst>
          </c:dPt>
          <c:dPt>
            <c:idx val="5"/>
            <c:marker>
              <c:symbol val="circle"/>
              <c:size val="6"/>
              <c:spPr>
                <a:solidFill>
                  <a:srgbClr val="006600"/>
                </a:solidFill>
                <a:ln w="9525">
                  <a:noFill/>
                </a:ln>
                <a:effectLst/>
              </c:spPr>
            </c:marker>
            <c:bubble3D val="0"/>
            <c:spPr>
              <a:ln w="28575" cap="rnd">
                <a:solidFill>
                  <a:srgbClr val="0066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E-E37C-46BE-8EF5-3D607EFDA7AF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F9D-443D-AB43-E3FC7AA3DDB5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F9D-443D-AB43-E3FC7AA3DDB5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12-4CD1-9307-E56016A926FF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37C-46BE-8EF5-3D607EFDA7AF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37C-46BE-8EF5-3D607EFDA7AF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PADD Funding, $41.48</a:t>
                    </a:r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E37C-46BE-8EF5-3D607EFDA7AF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extLst>
                <c:ext xmlns:c15="http://schemas.microsoft.com/office/drawing/2012/chart" uri="{02D57815-91ED-43cb-92C2-25804820EDAC}">
                  <c15:fullRef>
                    <c15:sqref>Sheet1!$B$1:$L$1</c15:sqref>
                  </c15:fullRef>
                </c:ext>
              </c:extLst>
              <c:f>(Sheet1!$B$1,Sheet1!$D$1,Sheet1!$F$1,Sheet1!$H$1,Sheet1!$J$1,Sheet1!$L$1)</c:f>
              <c:numCache>
                <c:formatCode>General</c:formatCode>
                <c:ptCount val="6"/>
                <c:pt idx="0">
                  <c:v>2011</c:v>
                </c:pt>
                <c:pt idx="1">
                  <c:v>2013</c:v>
                </c:pt>
                <c:pt idx="2">
                  <c:v>2015</c:v>
                </c:pt>
                <c:pt idx="3">
                  <c:v>2017</c:v>
                </c:pt>
                <c:pt idx="4">
                  <c:v>2019</c:v>
                </c:pt>
                <c:pt idx="5">
                  <c:v>2021</c:v>
                </c:pt>
              </c:numCache>
            </c:num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Sheet1!$B$2:$L$2</c15:sqref>
                  </c15:fullRef>
                </c:ext>
              </c:extLst>
              <c:f>(Sheet1!$B$2,Sheet1!$D$2,Sheet1!$F$2,Sheet1!$H$2,Sheet1!$J$2,Sheet1!$L$2)</c:f>
              <c:numCache>
                <c:formatCode>0.00</c:formatCode>
                <c:ptCount val="6"/>
                <c:pt idx="0">
                  <c:v>40.942</c:v>
                </c:pt>
                <c:pt idx="1">
                  <c:v>38.619999999999997</c:v>
                </c:pt>
                <c:pt idx="2">
                  <c:v>38.734000000000002</c:v>
                </c:pt>
                <c:pt idx="3">
                  <c:v>38.734000000000002</c:v>
                </c:pt>
                <c:pt idx="4">
                  <c:v>40.734000000000002</c:v>
                </c:pt>
                <c:pt idx="5">
                  <c:v>41.484000000000002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F9D-443D-AB43-E3FC7AA3DDB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Adjusted for Inflation</c:v>
                </c:pt>
              </c:strCache>
            </c:strRef>
          </c:tx>
          <c:spPr>
            <a:ln w="28575" cap="rnd" cmpd="dbl">
              <a:solidFill>
                <a:srgbClr val="65125D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rgbClr val="65125D"/>
              </a:solidFill>
              <a:ln w="9525">
                <a:noFill/>
              </a:ln>
              <a:effectLst/>
            </c:spPr>
          </c:marker>
          <c:dPt>
            <c:idx val="0"/>
            <c:marker>
              <c:symbol val="circle"/>
              <c:size val="6"/>
              <c:spPr>
                <a:solidFill>
                  <a:srgbClr val="65125D"/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8-CF9D-443D-AB43-E3FC7AA3DDB5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F9D-443D-AB43-E3FC7AA3DDB5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F9D-443D-AB43-E3FC7AA3DDB5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12-4CD1-9307-E56016A926FF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37C-46BE-8EF5-3D607EFDA7AF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37C-46BE-8EF5-3D607EFDA7AF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US Inflation, $48.04</a:t>
                    </a:r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E37C-46BE-8EF5-3D607EFDA7AF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extLst>
                <c:ext xmlns:c15="http://schemas.microsoft.com/office/drawing/2012/chart" uri="{02D57815-91ED-43cb-92C2-25804820EDAC}">
                  <c15:fullRef>
                    <c15:sqref>Sheet1!$B$1:$L$1</c15:sqref>
                  </c15:fullRef>
                </c:ext>
              </c:extLst>
              <c:f>(Sheet1!$B$1,Sheet1!$D$1,Sheet1!$F$1,Sheet1!$H$1,Sheet1!$J$1,Sheet1!$L$1)</c:f>
              <c:numCache>
                <c:formatCode>General</c:formatCode>
                <c:ptCount val="6"/>
                <c:pt idx="0">
                  <c:v>2011</c:v>
                </c:pt>
                <c:pt idx="1">
                  <c:v>2013</c:v>
                </c:pt>
                <c:pt idx="2">
                  <c:v>2015</c:v>
                </c:pt>
                <c:pt idx="3">
                  <c:v>2017</c:v>
                </c:pt>
                <c:pt idx="4">
                  <c:v>2019</c:v>
                </c:pt>
                <c:pt idx="5">
                  <c:v>2021</c:v>
                </c:pt>
              </c:numCache>
            </c:num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Sheet1!$B$3:$L$3</c15:sqref>
                  </c15:fullRef>
                </c:ext>
              </c:extLst>
              <c:f>(Sheet1!$B$3,Sheet1!$D$3,Sheet1!$F$3,Sheet1!$H$3,Sheet1!$J$3,Sheet1!$L$3)</c:f>
              <c:numCache>
                <c:formatCode>0.00</c:formatCode>
                <c:ptCount val="6"/>
                <c:pt idx="0">
                  <c:v>40.942</c:v>
                </c:pt>
                <c:pt idx="1">
                  <c:v>42.887154420000002</c:v>
                </c:pt>
                <c:pt idx="2">
                  <c:v>44.139630877681682</c:v>
                </c:pt>
                <c:pt idx="3">
                  <c:v>44.801725340846907</c:v>
                </c:pt>
                <c:pt idx="4">
                  <c:v>46.840472654207488</c:v>
                </c:pt>
                <c:pt idx="5">
                  <c:v>48.041160179999999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F9D-443D-AB43-E3FC7AA3DD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8460912"/>
        <c:axId val="663110976"/>
      </c:lineChart>
      <c:catAx>
        <c:axId val="708460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3110976"/>
        <c:crosses val="autoZero"/>
        <c:auto val="1"/>
        <c:lblAlgn val="ctr"/>
        <c:lblOffset val="100"/>
        <c:noMultiLvlLbl val="0"/>
      </c:catAx>
      <c:valAx>
        <c:axId val="663110976"/>
        <c:scaling>
          <c:orientation val="minMax"/>
          <c:max val="49"/>
          <c:min val="3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8460912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6350" cap="flat" cmpd="sng" algn="ctr">
      <a:solidFill>
        <a:srgbClr val="65125D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53CB960F1EB4F8AF1293C51BE3C94" ma:contentTypeVersion="4" ma:contentTypeDescription="Create a new document." ma:contentTypeScope="" ma:versionID="715ddac6695a3b1b2a499696af6e7e13">
  <xsd:schema xmlns:xsd="http://www.w3.org/2001/XMLSchema" xmlns:xs="http://www.w3.org/2001/XMLSchema" xmlns:p="http://schemas.microsoft.com/office/2006/metadata/properties" xmlns:ns2="a84592ef-b7d4-4b9b-ab4e-ee4472c20361" targetNamespace="http://schemas.microsoft.com/office/2006/metadata/properties" ma:root="true" ma:fieldsID="3c948c2773c0036ed666d2f38f849b37" ns2:_="">
    <xsd:import namespace="a84592ef-b7d4-4b9b-ab4e-ee4472c20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592ef-b7d4-4b9b-ab4e-ee4472c20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3F1F95EA-8281-420B-9CC1-614CB99B4B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423667-8B23-43E9-8D3F-DB84E3943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592ef-b7d4-4b9b-ab4e-ee4472c20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EBAC51-E39A-4DB2-98EA-54EBBD8BF3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C46C12-538A-42BC-95CA-C628497C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National Disability Rights Network</dc:creator>
  <cp:keywords/>
  <dc:description/>
  <cp:lastModifiedBy>Eric Buehlmann</cp:lastModifiedBy>
  <cp:revision>2</cp:revision>
  <cp:lastPrinted>2020-03-04T20:48:00Z</cp:lastPrinted>
  <dcterms:created xsi:type="dcterms:W3CDTF">2021-02-10T14:27:00Z</dcterms:created>
  <dcterms:modified xsi:type="dcterms:W3CDTF">2021-02-10T14:27:00Z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0x010100F1453CB960F1EB4F8AF1293C51BE3C94</vt:lpwstr>
  </property>
</Properties>
</file>