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FB92" w14:textId="60936204" w:rsidR="004345A5" w:rsidRPr="00330DFA" w:rsidRDefault="00E479A1" w:rsidP="00F73364">
      <w:pPr>
        <w:pStyle w:val="Subtitle"/>
        <w:spacing w:after="120"/>
      </w:pPr>
      <w:r w:rsidRPr="00330DFA">
        <w:rPr>
          <w:noProof/>
        </w:rPr>
        <mc:AlternateContent>
          <mc:Choice Requires="wps">
            <w:drawing>
              <wp:anchor distT="182880" distB="182880" distL="182880" distR="182880" simplePos="0" relativeHeight="251659264" behindDoc="0" locked="0" layoutInCell="1" allowOverlap="0" wp14:anchorId="679FBB30" wp14:editId="37E8783E">
                <wp:simplePos x="0" y="0"/>
                <wp:positionH relativeFrom="column">
                  <wp:posOffset>4762500</wp:posOffset>
                </wp:positionH>
                <wp:positionV relativeFrom="paragraph">
                  <wp:posOffset>295275</wp:posOffset>
                </wp:positionV>
                <wp:extent cx="1841500" cy="2981325"/>
                <wp:effectExtent l="0" t="0" r="6350" b="9525"/>
                <wp:wrapSquare wrapText="bothSides"/>
                <wp:docPr id="1" name="Text Box 1"/>
                <wp:cNvGraphicFramePr/>
                <a:graphic xmlns:a="http://schemas.openxmlformats.org/drawingml/2006/main">
                  <a:graphicData uri="http://schemas.microsoft.com/office/word/2010/wordprocessingShape">
                    <wps:wsp>
                      <wps:cNvSpPr txBox="1"/>
                      <wps:spPr>
                        <a:xfrm>
                          <a:off x="0" y="0"/>
                          <a:ext cx="1841500" cy="2981325"/>
                        </a:xfrm>
                        <a:prstGeom prst="rect">
                          <a:avLst/>
                        </a:prstGeom>
                        <a:solidFill>
                          <a:schemeClr val="bg2">
                            <a:lumMod val="90000"/>
                            <a:alpha val="33000"/>
                          </a:schemeClr>
                        </a:solidFill>
                        <a:ln w="6350">
                          <a:noFill/>
                        </a:ln>
                      </wps:spPr>
                      <wps:txbx>
                        <w:txbxContent>
                          <w:p w14:paraId="13EFB8BA" w14:textId="5BCB775B" w:rsidR="00647A3A" w:rsidRPr="000A0416" w:rsidRDefault="00FC6B77" w:rsidP="00E42C9D">
                            <w:pPr>
                              <w:ind w:left="144" w:right="144"/>
                              <w:rPr>
                                <w:rFonts w:ascii="Arial" w:hAnsi="Arial" w:cs="Arial"/>
                                <w:b/>
                                <w:bCs/>
                              </w:rPr>
                            </w:pPr>
                            <w:r>
                              <w:rPr>
                                <w:rFonts w:ascii="Arial" w:hAnsi="Arial" w:cs="Arial"/>
                                <w:b/>
                                <w:bCs/>
                              </w:rPr>
                              <w:t xml:space="preserve">The </w:t>
                            </w:r>
                            <w:r w:rsidR="00487824">
                              <w:rPr>
                                <w:rFonts w:ascii="Arial" w:hAnsi="Arial" w:cs="Arial"/>
                                <w:b/>
                                <w:bCs/>
                              </w:rPr>
                              <w:t>PAIMI</w:t>
                            </w:r>
                            <w:r w:rsidR="00487824" w:rsidRPr="000A0416">
                              <w:rPr>
                                <w:rFonts w:ascii="Arial" w:hAnsi="Arial" w:cs="Arial"/>
                                <w:b/>
                                <w:bCs/>
                              </w:rPr>
                              <w:t xml:space="preserve"> program focuses </w:t>
                            </w:r>
                            <w:r w:rsidR="00B82274">
                              <w:rPr>
                                <w:rFonts w:ascii="Arial" w:hAnsi="Arial" w:cs="Arial"/>
                                <w:b/>
                                <w:bCs/>
                              </w:rPr>
                              <w:t xml:space="preserve">on </w:t>
                            </w:r>
                            <w:r w:rsidR="00487824">
                              <w:rPr>
                                <w:rFonts w:ascii="Arial" w:hAnsi="Arial" w:cs="Arial"/>
                                <w:b/>
                                <w:bCs/>
                              </w:rPr>
                              <w:t>e</w:t>
                            </w:r>
                            <w:r w:rsidR="00487824" w:rsidRPr="00B4029E">
                              <w:rPr>
                                <w:rFonts w:ascii="Arial" w:hAnsi="Arial" w:cs="Arial"/>
                                <w:b/>
                                <w:bCs/>
                              </w:rPr>
                              <w:t xml:space="preserve">nsuring that people with mental illness have access to education, housing, employment and other necessary supports and services in the community so they can remain in their communities and be economically self-sufficient.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FBB30" id="_x0000_t202" coordsize="21600,21600" o:spt="202" path="m,l,21600r21600,l21600,xe">
                <v:stroke joinstyle="miter"/>
                <v:path gradientshapeok="t" o:connecttype="rect"/>
              </v:shapetype>
              <v:shape id="Text Box 1" o:spid="_x0000_s1026" type="#_x0000_t202" style="position:absolute;margin-left:375pt;margin-top:23.25pt;width:145pt;height:234.75pt;z-index:251659264;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qdXQIAALYEAAAOAAAAZHJzL2Uyb0RvYy54bWysVMlu2zAQvRfoPxC8N5K3NDEiB66DFAXc&#10;JEBS5ExTlCWA5LAkbcn9+s5QsrO0p6I+0JyFs7x5o6vrzmi2Vz40YAs+Oss5U1ZC2dhtwX883X66&#10;4CxEYUuhwaqCH1Tg14uPH65aN1djqEGXyjMMYsO8dQWvY3TzLAuyVkaEM3DKorECb0RE0W+z0osW&#10;oxudjfP8PGvBl86DVCGg9qY38kWKX1VKxvuqCioyXXCsLabTp3NDZ7a4EvOtF65u5FCG+IcqjGgs&#10;Jj2FuhFRsJ1v/ghlGukhQBXPJJgMqqqRKvWA3Yzyd9081sKp1AuCE9wJpvD/wsq7/YNnTYmz48wK&#10;gyN6Ul1kX6BjI0KndWGOTo8O3WKHavIc9AGV1HRXeUP/2A5DO+J8OGFLwSQ9upiOZjmaJNrGlxej&#10;yXhGcbKX586H+FWBYXQpuMfhJUzFfh1i73p0oWwBdFPeNlongQijVtqzvcBRb7bj9FTvzHcoe91l&#10;jr9+4EK7WvTayWTQYiGJdRQklfUmvrasLfj5ZJanuBYocV+TtuhOMPVw0C12m27AaAPlAaHz0FMv&#10;OHnbYHtrEeKD8Mg1hAT3J97jUWnAJDDcOKvB//qbnvyRAmjlrEXuFjz83AmvONPfLJLjcjSdEtmT&#10;MJ19HqPgX1s2ry12Z1aAmCEBsLp0Jf+oj9fKg3nGNVtSVjQJKzF3wWX0R2EV+53CRZVquUxuSHAn&#10;4to+OknBaUo0vqfuWXg3zDgiPe7gyHMxfzfq3pdeWljuIlRN4gFB3OM6II/LkUY2LDJt32s5eb18&#10;bha/AQAA//8DAFBLAwQUAAYACAAAACEAG/GNFuAAAAALAQAADwAAAGRycy9kb3ducmV2LnhtbEyP&#10;QUvDQBCF74L/YRnBi9jdShMlZlKqUCgIgtWLt212TGKzsyG7TdJ/7+Zkj2/e48338vVkWzFQ7xvH&#10;CMuFAkFcOtNwhfD1ub1/AuGDZqNbx4RwJg/r4voq15lxI3/QsA+ViCXsM41Qh9BlUvqyJqv9wnXE&#10;0ftxvdUhyr6SptdjLLetfFAqlVY3HD/UuqPXmsrj/mQRtBl2u++3MWxefs/bd77rbHVMEG9vps0z&#10;iEBT+A/DjB/RoYhMB3di40WL8JiouCUgrNIExBxQq/lyQEiWqQJZ5PJyQ/EHAAD//wMAUEsBAi0A&#10;FAAGAAgAAAAhALaDOJL+AAAA4QEAABMAAAAAAAAAAAAAAAAAAAAAAFtDb250ZW50X1R5cGVzXS54&#10;bWxQSwECLQAUAAYACAAAACEAOP0h/9YAAACUAQAACwAAAAAAAAAAAAAAAAAvAQAAX3JlbHMvLnJl&#10;bHNQSwECLQAUAAYACAAAACEA+gQ6nV0CAAC2BAAADgAAAAAAAAAAAAAAAAAuAgAAZHJzL2Uyb0Rv&#10;Yy54bWxQSwECLQAUAAYACAAAACEAG/GNFuAAAAALAQAADwAAAAAAAAAAAAAAAAC3BAAAZHJzL2Rv&#10;d25yZXYueG1sUEsFBgAAAAAEAAQA8wAAAMQFAAAAAA==&#10;" o:allowoverlap="f" fillcolor="#cfcdcd [2894]" stroked="f" strokeweight=".5pt">
                <v:fill opacity="21588f"/>
                <v:textbox>
                  <w:txbxContent>
                    <w:p w14:paraId="13EFB8BA" w14:textId="5BCB775B" w:rsidR="00647A3A" w:rsidRPr="000A0416" w:rsidRDefault="00FC6B77" w:rsidP="00E42C9D">
                      <w:pPr>
                        <w:ind w:left="144" w:right="144"/>
                        <w:rPr>
                          <w:rFonts w:ascii="Arial" w:hAnsi="Arial" w:cs="Arial"/>
                          <w:b/>
                          <w:bCs/>
                        </w:rPr>
                      </w:pPr>
                      <w:r>
                        <w:rPr>
                          <w:rFonts w:ascii="Arial" w:hAnsi="Arial" w:cs="Arial"/>
                          <w:b/>
                          <w:bCs/>
                        </w:rPr>
                        <w:t xml:space="preserve">The </w:t>
                      </w:r>
                      <w:r w:rsidR="00487824">
                        <w:rPr>
                          <w:rFonts w:ascii="Arial" w:hAnsi="Arial" w:cs="Arial"/>
                          <w:b/>
                          <w:bCs/>
                        </w:rPr>
                        <w:t>PAIMI</w:t>
                      </w:r>
                      <w:r w:rsidR="00487824" w:rsidRPr="000A0416">
                        <w:rPr>
                          <w:rFonts w:ascii="Arial" w:hAnsi="Arial" w:cs="Arial"/>
                          <w:b/>
                          <w:bCs/>
                        </w:rPr>
                        <w:t xml:space="preserve"> program focuses </w:t>
                      </w:r>
                      <w:r w:rsidR="00B82274">
                        <w:rPr>
                          <w:rFonts w:ascii="Arial" w:hAnsi="Arial" w:cs="Arial"/>
                          <w:b/>
                          <w:bCs/>
                        </w:rPr>
                        <w:t xml:space="preserve">on </w:t>
                      </w:r>
                      <w:r w:rsidR="00487824">
                        <w:rPr>
                          <w:rFonts w:ascii="Arial" w:hAnsi="Arial" w:cs="Arial"/>
                          <w:b/>
                          <w:bCs/>
                        </w:rPr>
                        <w:t>e</w:t>
                      </w:r>
                      <w:r w:rsidR="00487824" w:rsidRPr="00B4029E">
                        <w:rPr>
                          <w:rFonts w:ascii="Arial" w:hAnsi="Arial" w:cs="Arial"/>
                          <w:b/>
                          <w:bCs/>
                        </w:rPr>
                        <w:t xml:space="preserve">nsuring that people with mental illness have access to education, housing, employment and other necessary supports and services in the community so they can remain in their communities and be economically self-sufficient. </w:t>
                      </w:r>
                    </w:p>
                  </w:txbxContent>
                </v:textbox>
                <w10:wrap type="square"/>
              </v:shape>
            </w:pict>
          </mc:Fallback>
        </mc:AlternateContent>
      </w:r>
      <w:r w:rsidR="00647A3A">
        <w:br/>
      </w:r>
      <w:r w:rsidR="00350A47" w:rsidRPr="00330DFA">
        <w:t>APPROPRIATIONS REQUEST &amp; JUSTIFICATION – FY 2021</w:t>
      </w:r>
    </w:p>
    <w:p w14:paraId="544D17A3" w14:textId="3B5C5771" w:rsidR="00F73364" w:rsidRPr="00E42C9D" w:rsidRDefault="00DC71F8" w:rsidP="00350A47">
      <w:pPr>
        <w:pStyle w:val="Heading1"/>
        <w:rPr>
          <w:b/>
        </w:rPr>
      </w:pPr>
      <w:r w:rsidRPr="00E42C9D">
        <w:rPr>
          <w:b/>
        </w:rPr>
        <w:t xml:space="preserve">Protection and Advocacy </w:t>
      </w:r>
    </w:p>
    <w:p w14:paraId="0BD95B84" w14:textId="5D9E1DE6" w:rsidR="00350A47" w:rsidRPr="00E42C9D" w:rsidRDefault="00DC71F8" w:rsidP="00350A47">
      <w:pPr>
        <w:pStyle w:val="Heading1"/>
        <w:rPr>
          <w:b/>
        </w:rPr>
      </w:pPr>
      <w:r w:rsidRPr="00E42C9D">
        <w:rPr>
          <w:b/>
        </w:rPr>
        <w:t xml:space="preserve">for </w:t>
      </w:r>
      <w:r w:rsidR="000A0416" w:rsidRPr="00E42C9D">
        <w:rPr>
          <w:b/>
        </w:rPr>
        <w:t xml:space="preserve">Individuals with </w:t>
      </w:r>
      <w:r w:rsidR="00F73364" w:rsidRPr="00E42C9D">
        <w:rPr>
          <w:b/>
        </w:rPr>
        <w:t>Mental Illness</w:t>
      </w:r>
    </w:p>
    <w:p w14:paraId="123BFF2D" w14:textId="4B352890" w:rsidR="00350A47" w:rsidRPr="00330DFA" w:rsidRDefault="00350A47" w:rsidP="00350A47">
      <w:pPr>
        <w:rPr>
          <w:rFonts w:ascii="Arial" w:hAnsi="Arial" w:cs="Arial"/>
        </w:rPr>
      </w:pPr>
    </w:p>
    <w:p w14:paraId="70C9BA56" w14:textId="0D4C7AF7" w:rsidR="00487824" w:rsidRDefault="00487824" w:rsidP="001D2384">
      <w:pPr>
        <w:spacing w:after="240"/>
        <w:rPr>
          <w:rFonts w:ascii="Arial" w:hAnsi="Arial" w:cs="Arial"/>
        </w:rPr>
      </w:pPr>
      <w:r w:rsidRPr="00330DFA">
        <w:rPr>
          <w:rFonts w:ascii="Arial" w:hAnsi="Arial" w:cs="Arial"/>
        </w:rPr>
        <w:t xml:space="preserve">Protection and Advocacy </w:t>
      </w:r>
      <w:r w:rsidRPr="000A0416">
        <w:rPr>
          <w:rFonts w:ascii="Arial" w:hAnsi="Arial" w:cs="Arial"/>
        </w:rPr>
        <w:t>for Individuals with</w:t>
      </w:r>
      <w:r>
        <w:rPr>
          <w:rFonts w:ascii="Arial" w:hAnsi="Arial" w:cs="Arial"/>
        </w:rPr>
        <w:t xml:space="preserve"> Mental Illness (PAIMI) </w:t>
      </w:r>
      <w:r w:rsidRPr="000A0416">
        <w:rPr>
          <w:rFonts w:ascii="Arial" w:hAnsi="Arial" w:cs="Arial"/>
        </w:rPr>
        <w:t>primarily focus on</w:t>
      </w:r>
      <w:r>
        <w:rPr>
          <w:rFonts w:ascii="Arial" w:hAnsi="Arial" w:cs="Arial"/>
        </w:rPr>
        <w:t xml:space="preserve"> </w:t>
      </w:r>
      <w:r w:rsidRPr="00B4029E">
        <w:rPr>
          <w:rFonts w:ascii="Arial" w:hAnsi="Arial" w:cs="Arial"/>
        </w:rPr>
        <w:t>individuals with significant mental illness or emotional impairment.</w:t>
      </w:r>
      <w:r>
        <w:rPr>
          <w:rFonts w:ascii="Arial" w:hAnsi="Arial" w:cs="Arial"/>
        </w:rPr>
        <w:t xml:space="preserve"> </w:t>
      </w:r>
      <w:r w:rsidRPr="00B4029E">
        <w:rPr>
          <w:rFonts w:ascii="Arial" w:hAnsi="Arial" w:cs="Arial"/>
        </w:rPr>
        <w:t>P&amp;As are authorized to</w:t>
      </w:r>
      <w:r>
        <w:rPr>
          <w:rFonts w:ascii="Arial" w:hAnsi="Arial" w:cs="Arial"/>
        </w:rPr>
        <w:t>:</w:t>
      </w:r>
    </w:p>
    <w:p w14:paraId="05FE705A" w14:textId="77777777" w:rsidR="00487824" w:rsidRDefault="00487824" w:rsidP="00487824">
      <w:pPr>
        <w:pStyle w:val="ListParagraph"/>
        <w:numPr>
          <w:ilvl w:val="0"/>
          <w:numId w:val="3"/>
        </w:numPr>
        <w:spacing w:after="240"/>
        <w:rPr>
          <w:rFonts w:ascii="Arial" w:hAnsi="Arial" w:cs="Arial"/>
        </w:rPr>
      </w:pPr>
      <w:r w:rsidRPr="00B4029E">
        <w:rPr>
          <w:rFonts w:ascii="Arial" w:hAnsi="Arial" w:cs="Arial"/>
        </w:rPr>
        <w:t>investigate abuse and neglect and rights violations in all public and private facilities and community settings, including</w:t>
      </w:r>
      <w:r>
        <w:rPr>
          <w:rFonts w:ascii="Arial" w:hAnsi="Arial" w:cs="Arial"/>
        </w:rPr>
        <w:t>:</w:t>
      </w:r>
      <w:r w:rsidRPr="00B4029E">
        <w:rPr>
          <w:rFonts w:ascii="Arial" w:hAnsi="Arial" w:cs="Arial"/>
        </w:rPr>
        <w:t xml:space="preserve"> </w:t>
      </w:r>
    </w:p>
    <w:p w14:paraId="450E5C23" w14:textId="1A305461" w:rsidR="00FC6B77" w:rsidRDefault="00FC6B77" w:rsidP="00487824">
      <w:pPr>
        <w:pStyle w:val="ListParagraph"/>
        <w:numPr>
          <w:ilvl w:val="1"/>
          <w:numId w:val="3"/>
        </w:numPr>
        <w:spacing w:after="240"/>
        <w:rPr>
          <w:rFonts w:ascii="Arial" w:hAnsi="Arial" w:cs="Arial"/>
        </w:rPr>
      </w:pPr>
      <w:r>
        <w:rPr>
          <w:rFonts w:ascii="Arial" w:hAnsi="Arial" w:cs="Arial"/>
        </w:rPr>
        <w:t>schools,</w:t>
      </w:r>
    </w:p>
    <w:p w14:paraId="0D28F0F5" w14:textId="58475ED8" w:rsidR="00487824" w:rsidRDefault="00487824" w:rsidP="00487824">
      <w:pPr>
        <w:pStyle w:val="ListParagraph"/>
        <w:numPr>
          <w:ilvl w:val="1"/>
          <w:numId w:val="3"/>
        </w:numPr>
        <w:spacing w:after="240"/>
        <w:rPr>
          <w:rFonts w:ascii="Arial" w:hAnsi="Arial" w:cs="Arial"/>
        </w:rPr>
      </w:pPr>
      <w:r w:rsidRPr="00B4029E">
        <w:rPr>
          <w:rFonts w:ascii="Arial" w:hAnsi="Arial" w:cs="Arial"/>
        </w:rPr>
        <w:t xml:space="preserve">hospitals, </w:t>
      </w:r>
    </w:p>
    <w:p w14:paraId="76B0ACAF" w14:textId="428981EC" w:rsidR="00487824" w:rsidRDefault="00487824" w:rsidP="00487824">
      <w:pPr>
        <w:pStyle w:val="ListParagraph"/>
        <w:numPr>
          <w:ilvl w:val="1"/>
          <w:numId w:val="3"/>
        </w:numPr>
        <w:spacing w:after="240"/>
        <w:rPr>
          <w:rFonts w:ascii="Arial" w:hAnsi="Arial" w:cs="Arial"/>
        </w:rPr>
      </w:pPr>
      <w:r w:rsidRPr="00B4029E">
        <w:rPr>
          <w:rFonts w:ascii="Arial" w:hAnsi="Arial" w:cs="Arial"/>
        </w:rPr>
        <w:t>nursing facilities</w:t>
      </w:r>
      <w:r w:rsidR="008069C3">
        <w:rPr>
          <w:rFonts w:ascii="Arial" w:hAnsi="Arial" w:cs="Arial"/>
        </w:rPr>
        <w:t>,</w:t>
      </w:r>
    </w:p>
    <w:p w14:paraId="72DDB2ED" w14:textId="77777777" w:rsidR="00487824" w:rsidRDefault="00487824" w:rsidP="00487824">
      <w:pPr>
        <w:pStyle w:val="ListParagraph"/>
        <w:numPr>
          <w:ilvl w:val="1"/>
          <w:numId w:val="3"/>
        </w:numPr>
        <w:spacing w:after="240"/>
        <w:rPr>
          <w:rFonts w:ascii="Arial" w:hAnsi="Arial" w:cs="Arial"/>
        </w:rPr>
      </w:pPr>
      <w:r w:rsidRPr="00B4029E">
        <w:rPr>
          <w:rFonts w:ascii="Arial" w:hAnsi="Arial" w:cs="Arial"/>
        </w:rPr>
        <w:t xml:space="preserve">group homes </w:t>
      </w:r>
    </w:p>
    <w:p w14:paraId="3E2629F4" w14:textId="77777777" w:rsidR="00487824" w:rsidRPr="00B4029E" w:rsidRDefault="00487824" w:rsidP="00487824">
      <w:pPr>
        <w:pStyle w:val="ListParagraph"/>
        <w:numPr>
          <w:ilvl w:val="0"/>
          <w:numId w:val="3"/>
        </w:numPr>
        <w:spacing w:after="240"/>
        <w:rPr>
          <w:rFonts w:ascii="Arial" w:hAnsi="Arial" w:cs="Arial"/>
        </w:rPr>
      </w:pPr>
      <w:r w:rsidRPr="00B4029E">
        <w:rPr>
          <w:rFonts w:ascii="Arial" w:hAnsi="Arial" w:cs="Arial"/>
        </w:rPr>
        <w:t>oversee the effectiveness of state agencies that license and regulate these programs</w:t>
      </w:r>
    </w:p>
    <w:p w14:paraId="46975C5B" w14:textId="62185A13" w:rsidR="00E42C9D" w:rsidRDefault="00487824" w:rsidP="00E42C9D">
      <w:pPr>
        <w:spacing w:after="240"/>
        <w:rPr>
          <w:rFonts w:ascii="Arial" w:hAnsi="Arial" w:cs="Arial"/>
        </w:rPr>
      </w:pPr>
      <w:r w:rsidRPr="00B4029E">
        <w:rPr>
          <w:rFonts w:ascii="Arial" w:hAnsi="Arial" w:cs="Arial"/>
        </w:rPr>
        <w:t xml:space="preserve">In </w:t>
      </w:r>
      <w:r>
        <w:rPr>
          <w:rFonts w:ascii="Arial" w:hAnsi="Arial" w:cs="Arial"/>
        </w:rPr>
        <w:t>FY</w:t>
      </w:r>
      <w:r w:rsidRPr="00B4029E">
        <w:rPr>
          <w:rFonts w:ascii="Arial" w:hAnsi="Arial" w:cs="Arial"/>
        </w:rPr>
        <w:t xml:space="preserve"> 2004, PAIMI was funded at $35 million, and after years of struggle, cuts and small increases, funding has only increased slightly to $36 million in FY 2019. When inflation is taken into consideration, this ca</w:t>
      </w:r>
      <w:r w:rsidR="00FC6B77">
        <w:rPr>
          <w:rFonts w:ascii="Arial" w:hAnsi="Arial" w:cs="Arial"/>
        </w:rPr>
        <w:t xml:space="preserve">nnot be called an increase. </w:t>
      </w:r>
      <w:proofErr w:type="gramStart"/>
      <w:r w:rsidR="00FC6B77">
        <w:rPr>
          <w:rFonts w:ascii="Arial" w:hAnsi="Arial" w:cs="Arial"/>
        </w:rPr>
        <w:t>PAIMI</w:t>
      </w:r>
      <w:r w:rsidRPr="00B4029E">
        <w:rPr>
          <w:rFonts w:ascii="Arial" w:hAnsi="Arial" w:cs="Arial"/>
        </w:rPr>
        <w:t xml:space="preserve"> </w:t>
      </w:r>
      <w:r w:rsidR="00C20975">
        <w:rPr>
          <w:rFonts w:ascii="Arial" w:hAnsi="Arial" w:cs="Arial"/>
        </w:rPr>
        <w:t xml:space="preserve">program </w:t>
      </w:r>
      <w:bookmarkStart w:id="0" w:name="_GoBack"/>
      <w:bookmarkEnd w:id="0"/>
      <w:r w:rsidR="00C20975">
        <w:rPr>
          <w:rFonts w:ascii="Arial" w:hAnsi="Arial" w:cs="Arial"/>
        </w:rPr>
        <w:t xml:space="preserve">funding is administered by </w:t>
      </w:r>
      <w:r w:rsidRPr="00B4029E">
        <w:rPr>
          <w:rFonts w:ascii="Arial" w:hAnsi="Arial" w:cs="Arial"/>
        </w:rPr>
        <w:t xml:space="preserve">the U.S Department of Health and Human Services (HHS), </w:t>
      </w:r>
      <w:r w:rsidR="00B82274">
        <w:rPr>
          <w:rFonts w:ascii="Arial" w:hAnsi="Arial" w:cs="Arial"/>
        </w:rPr>
        <w:t>Substance Abuse and Mental Health Services Administration (SAMHSA)</w:t>
      </w:r>
      <w:proofErr w:type="gramEnd"/>
      <w:r w:rsidRPr="00B4029E">
        <w:rPr>
          <w:rFonts w:ascii="Arial" w:hAnsi="Arial" w:cs="Arial"/>
        </w:rPr>
        <w:t>.</w:t>
      </w:r>
    </w:p>
    <w:p w14:paraId="68EAE5C8" w14:textId="55300EC4" w:rsidR="00E42C9D" w:rsidRDefault="00E42C9D" w:rsidP="00E42C9D">
      <w:pPr>
        <w:jc w:val="center"/>
        <w:rPr>
          <w:rFonts w:ascii="Arial" w:hAnsi="Arial" w:cs="Arial"/>
        </w:rPr>
      </w:pPr>
      <w:r>
        <w:rPr>
          <w:noProof/>
        </w:rPr>
        <w:drawing>
          <wp:inline distT="0" distB="0" distL="0" distR="0" wp14:anchorId="7D3A8CA1" wp14:editId="164F461E">
            <wp:extent cx="6565900" cy="2419350"/>
            <wp:effectExtent l="0" t="0" r="6350" b="0"/>
            <wp:docPr id="4" name="Chart 4" title="Graph showing Appropriations line and Adjusted for Inflation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222645" w14:textId="32681E91" w:rsidR="00350A47" w:rsidRPr="00330DFA" w:rsidRDefault="00E42C9D" w:rsidP="00350A47">
      <w:pPr>
        <w:rPr>
          <w:rFonts w:ascii="Arial" w:hAnsi="Arial" w:cs="Arial"/>
        </w:rPr>
      </w:pPr>
      <w:r w:rsidRPr="00330DFA">
        <w:rPr>
          <w:rFonts w:ascii="Arial" w:hAnsi="Arial" w:cs="Arial"/>
        </w:rPr>
        <w:t xml:space="preserve"> </w:t>
      </w:r>
    </w:p>
    <w:p w14:paraId="4BC37302" w14:textId="6FE9CE76" w:rsidR="00647A3A" w:rsidRPr="00647A3A" w:rsidRDefault="00350A47" w:rsidP="0052453A">
      <w:pPr>
        <w:jc w:val="center"/>
        <w:rPr>
          <w:rFonts w:ascii="Arial" w:hAnsi="Arial" w:cs="Arial"/>
          <w:b/>
          <w:bCs/>
          <w:sz w:val="28"/>
          <w:szCs w:val="28"/>
        </w:rPr>
      </w:pPr>
      <w:r w:rsidRPr="00647A3A">
        <w:rPr>
          <w:rFonts w:ascii="Arial" w:hAnsi="Arial" w:cs="Arial"/>
          <w:b/>
          <w:bCs/>
          <w:sz w:val="28"/>
          <w:szCs w:val="28"/>
        </w:rPr>
        <w:t>NDRN recommends a funding level of $</w:t>
      </w:r>
      <w:r w:rsidR="00B82274">
        <w:rPr>
          <w:rFonts w:ascii="Arial" w:hAnsi="Arial" w:cs="Arial"/>
          <w:b/>
          <w:bCs/>
          <w:sz w:val="28"/>
          <w:szCs w:val="28"/>
        </w:rPr>
        <w:t>40</w:t>
      </w:r>
      <w:r w:rsidR="000A0416">
        <w:rPr>
          <w:rFonts w:ascii="Arial" w:hAnsi="Arial" w:cs="Arial"/>
          <w:b/>
          <w:bCs/>
          <w:sz w:val="28"/>
          <w:szCs w:val="28"/>
        </w:rPr>
        <w:t xml:space="preserve"> </w:t>
      </w:r>
      <w:r w:rsidRPr="00647A3A">
        <w:rPr>
          <w:rFonts w:ascii="Arial" w:hAnsi="Arial" w:cs="Arial"/>
          <w:b/>
          <w:bCs/>
          <w:sz w:val="28"/>
          <w:szCs w:val="28"/>
        </w:rPr>
        <w:t>million</w:t>
      </w:r>
      <w:r w:rsidR="000A0416">
        <w:rPr>
          <w:rFonts w:ascii="Arial" w:hAnsi="Arial" w:cs="Arial"/>
          <w:b/>
          <w:bCs/>
          <w:sz w:val="28"/>
          <w:szCs w:val="28"/>
        </w:rPr>
        <w:t xml:space="preserve"> for Fiscal Year 2021</w:t>
      </w:r>
    </w:p>
    <w:sectPr w:rsidR="00647A3A" w:rsidRPr="00647A3A" w:rsidSect="00E42C9D">
      <w:head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EFE4" w14:textId="77777777" w:rsidR="00F7571E" w:rsidRDefault="00F7571E" w:rsidP="00350A47">
      <w:r>
        <w:separator/>
      </w:r>
    </w:p>
  </w:endnote>
  <w:endnote w:type="continuationSeparator" w:id="0">
    <w:p w14:paraId="0876A3AC" w14:textId="77777777" w:rsidR="00F7571E" w:rsidRDefault="00F7571E" w:rsidP="0035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35B4" w14:textId="64DDEB85" w:rsidR="00E42C9D" w:rsidRPr="00E42C9D" w:rsidRDefault="00E42C9D" w:rsidP="00E42C9D">
    <w:pPr>
      <w:rPr>
        <w:rFonts w:ascii="Arial" w:hAnsi="Arial" w:cs="Arial"/>
      </w:rPr>
    </w:pPr>
    <w:r w:rsidRPr="00F73364">
      <w:rPr>
        <w:rFonts w:ascii="Arial" w:hAnsi="Arial" w:cs="Arial"/>
      </w:rPr>
      <w:t>For more information, contact Eric Buehlmann at</w:t>
    </w:r>
    <w:r>
      <w:rPr>
        <w:rFonts w:ascii="Arial" w:hAnsi="Arial" w:cs="Arial"/>
      </w:rPr>
      <w:t xml:space="preserve"> (202) 408-9514</w:t>
    </w:r>
    <w:r w:rsidRPr="00F73364">
      <w:rPr>
        <w:rFonts w:ascii="Arial" w:hAnsi="Arial" w:cs="Arial"/>
      </w:rPr>
      <w:t xml:space="preserve"> </w:t>
    </w:r>
    <w:r>
      <w:rPr>
        <w:rFonts w:ascii="Arial" w:hAnsi="Arial" w:cs="Arial"/>
      </w:rPr>
      <w:t xml:space="preserve">or </w:t>
    </w:r>
    <w:hyperlink r:id="rId1" w:history="1">
      <w:r w:rsidRPr="00BC0601">
        <w:rPr>
          <w:rStyle w:val="Hyperlink"/>
          <w:rFonts w:ascii="Arial" w:hAnsi="Arial" w:cs="Arial"/>
        </w:rPr>
        <w:t>Eric.Buehlmann@ndrn.org</w:t>
      </w:r>
    </w:hyperlink>
    <w:r w:rsidRPr="00F73364">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81DA4" w14:textId="77777777" w:rsidR="00F7571E" w:rsidRDefault="00F7571E" w:rsidP="00350A47">
      <w:r>
        <w:separator/>
      </w:r>
    </w:p>
  </w:footnote>
  <w:footnote w:type="continuationSeparator" w:id="0">
    <w:p w14:paraId="5F0DDC59" w14:textId="77777777" w:rsidR="00F7571E" w:rsidRDefault="00F7571E" w:rsidP="0035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B55B" w14:textId="746C642F" w:rsidR="00350A47" w:rsidRDefault="00350A47" w:rsidP="00350A47">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016" w14:textId="73F32F81" w:rsidR="00E42C9D" w:rsidRDefault="00E42C9D">
    <w:pPr>
      <w:pStyle w:val="Header"/>
    </w:pPr>
    <w:r>
      <w:rPr>
        <w:noProof/>
      </w:rPr>
      <w:drawing>
        <wp:inline distT="0" distB="0" distL="0" distR="0" wp14:anchorId="53724FCA" wp14:editId="636BCFD3">
          <wp:extent cx="3422210" cy="943467"/>
          <wp:effectExtent l="0" t="0" r="0" b="0"/>
          <wp:docPr id="3" name="Picture 3" descr="N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RN_logo_main_web_banner.png"/>
                  <pic:cNvPicPr/>
                </pic:nvPicPr>
                <pic:blipFill>
                  <a:blip r:embed="rId1">
                    <a:extLst>
                      <a:ext uri="{28A0092B-C50C-407E-A947-70E740481C1C}">
                        <a14:useLocalDpi xmlns:a14="http://schemas.microsoft.com/office/drawing/2010/main" val="0"/>
                      </a:ext>
                    </a:extLst>
                  </a:blip>
                  <a:stretch>
                    <a:fillRect/>
                  </a:stretch>
                </pic:blipFill>
                <pic:spPr>
                  <a:xfrm>
                    <a:off x="0" y="0"/>
                    <a:ext cx="3525924" cy="97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DBE"/>
    <w:multiLevelType w:val="hybridMultilevel"/>
    <w:tmpl w:val="2872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3728B"/>
    <w:multiLevelType w:val="hybridMultilevel"/>
    <w:tmpl w:val="447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62BA3"/>
    <w:multiLevelType w:val="hybridMultilevel"/>
    <w:tmpl w:val="860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8"/>
    <w:rsid w:val="000A0416"/>
    <w:rsid w:val="001F0598"/>
    <w:rsid w:val="00330DFA"/>
    <w:rsid w:val="00350A47"/>
    <w:rsid w:val="004345A5"/>
    <w:rsid w:val="00441509"/>
    <w:rsid w:val="00466C55"/>
    <w:rsid w:val="00487824"/>
    <w:rsid w:val="004B243D"/>
    <w:rsid w:val="004D61E5"/>
    <w:rsid w:val="0052453A"/>
    <w:rsid w:val="00634C70"/>
    <w:rsid w:val="00647A3A"/>
    <w:rsid w:val="00676D26"/>
    <w:rsid w:val="006E0BBC"/>
    <w:rsid w:val="0073174D"/>
    <w:rsid w:val="007B3043"/>
    <w:rsid w:val="008069C3"/>
    <w:rsid w:val="008C4722"/>
    <w:rsid w:val="00B75930"/>
    <w:rsid w:val="00B82274"/>
    <w:rsid w:val="00C20975"/>
    <w:rsid w:val="00C45A94"/>
    <w:rsid w:val="00DC71F8"/>
    <w:rsid w:val="00DE6AAC"/>
    <w:rsid w:val="00E07ECF"/>
    <w:rsid w:val="00E42C9D"/>
    <w:rsid w:val="00E479A1"/>
    <w:rsid w:val="00F73364"/>
    <w:rsid w:val="00F7571E"/>
    <w:rsid w:val="00FC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A919"/>
  <w15:chartTrackingRefBased/>
  <w15:docId w15:val="{F29EEFC4-14F3-264D-94A9-42149A98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FA"/>
    <w:rPr>
      <w:rFonts w:ascii="Times New Roman" w:eastAsia="Times New Roman" w:hAnsi="Times New Roman" w:cs="Times New Roman"/>
    </w:rPr>
  </w:style>
  <w:style w:type="paragraph" w:styleId="Heading1">
    <w:name w:val="heading 1"/>
    <w:basedOn w:val="Normal"/>
    <w:next w:val="Normal"/>
    <w:link w:val="Heading1Char"/>
    <w:uiPriority w:val="9"/>
    <w:qFormat/>
    <w:rsid w:val="00350A47"/>
    <w:pPr>
      <w:outlineLvl w:val="0"/>
    </w:pPr>
    <w:rPr>
      <w:rFonts w:ascii="Arial" w:hAnsi="Arial" w:cs="Arial"/>
      <w:color w:val="65125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C71F8"/>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50A47"/>
    <w:pPr>
      <w:tabs>
        <w:tab w:val="center" w:pos="4680"/>
        <w:tab w:val="right" w:pos="9360"/>
      </w:tabs>
    </w:pPr>
  </w:style>
  <w:style w:type="character" w:customStyle="1" w:styleId="HeaderChar">
    <w:name w:val="Header Char"/>
    <w:basedOn w:val="DefaultParagraphFont"/>
    <w:link w:val="Header"/>
    <w:uiPriority w:val="99"/>
    <w:rsid w:val="00350A47"/>
  </w:style>
  <w:style w:type="paragraph" w:styleId="Footer">
    <w:name w:val="footer"/>
    <w:basedOn w:val="Normal"/>
    <w:link w:val="FooterChar"/>
    <w:uiPriority w:val="99"/>
    <w:unhideWhenUsed/>
    <w:rsid w:val="00350A47"/>
    <w:pPr>
      <w:tabs>
        <w:tab w:val="center" w:pos="4680"/>
        <w:tab w:val="right" w:pos="9360"/>
      </w:tabs>
    </w:pPr>
  </w:style>
  <w:style w:type="character" w:customStyle="1" w:styleId="FooterChar">
    <w:name w:val="Footer Char"/>
    <w:basedOn w:val="DefaultParagraphFont"/>
    <w:link w:val="Footer"/>
    <w:uiPriority w:val="99"/>
    <w:rsid w:val="00350A47"/>
  </w:style>
  <w:style w:type="character" w:customStyle="1" w:styleId="Heading1Char">
    <w:name w:val="Heading 1 Char"/>
    <w:basedOn w:val="DefaultParagraphFont"/>
    <w:link w:val="Heading1"/>
    <w:uiPriority w:val="9"/>
    <w:rsid w:val="00350A47"/>
    <w:rPr>
      <w:rFonts w:ascii="Arial" w:hAnsi="Arial" w:cs="Arial"/>
      <w:color w:val="65125D"/>
      <w:sz w:val="44"/>
      <w:szCs w:val="44"/>
    </w:rPr>
  </w:style>
  <w:style w:type="paragraph" w:styleId="Subtitle">
    <w:name w:val="Subtitle"/>
    <w:basedOn w:val="Normal"/>
    <w:next w:val="Normal"/>
    <w:link w:val="SubtitleChar"/>
    <w:uiPriority w:val="11"/>
    <w:qFormat/>
    <w:rsid w:val="00350A47"/>
    <w:rPr>
      <w:rFonts w:ascii="Arial" w:hAnsi="Arial" w:cs="Arial"/>
      <w:b/>
      <w:bCs/>
      <w:color w:val="3B3838" w:themeColor="background2" w:themeShade="40"/>
    </w:rPr>
  </w:style>
  <w:style w:type="character" w:customStyle="1" w:styleId="SubtitleChar">
    <w:name w:val="Subtitle Char"/>
    <w:basedOn w:val="DefaultParagraphFont"/>
    <w:link w:val="Subtitle"/>
    <w:uiPriority w:val="11"/>
    <w:rsid w:val="00350A47"/>
    <w:rPr>
      <w:rFonts w:ascii="Arial" w:hAnsi="Arial" w:cs="Arial"/>
      <w:b/>
      <w:bCs/>
      <w:color w:val="3B3838" w:themeColor="background2" w:themeShade="40"/>
    </w:rPr>
  </w:style>
  <w:style w:type="table" w:styleId="TableGrid">
    <w:name w:val="Table Grid"/>
    <w:basedOn w:val="TableNormal"/>
    <w:uiPriority w:val="39"/>
    <w:rsid w:val="0033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DFA"/>
    <w:pPr>
      <w:ind w:left="720"/>
      <w:contextualSpacing/>
    </w:pPr>
  </w:style>
  <w:style w:type="character" w:styleId="Hyperlink">
    <w:name w:val="Hyperlink"/>
    <w:basedOn w:val="DefaultParagraphFont"/>
    <w:uiPriority w:val="99"/>
    <w:unhideWhenUsed/>
    <w:rsid w:val="000A0416"/>
    <w:rPr>
      <w:color w:val="0563C1" w:themeColor="hyperlink"/>
      <w:u w:val="single"/>
    </w:rPr>
  </w:style>
  <w:style w:type="character" w:customStyle="1" w:styleId="UnresolvedMention">
    <w:name w:val="Unresolved Mention"/>
    <w:basedOn w:val="DefaultParagraphFont"/>
    <w:uiPriority w:val="99"/>
    <w:semiHidden/>
    <w:unhideWhenUsed/>
    <w:rsid w:val="000A0416"/>
    <w:rPr>
      <w:color w:val="605E5C"/>
      <w:shd w:val="clear" w:color="auto" w:fill="E1DFDD"/>
    </w:rPr>
  </w:style>
  <w:style w:type="paragraph" w:styleId="BalloonText">
    <w:name w:val="Balloon Text"/>
    <w:basedOn w:val="Normal"/>
    <w:link w:val="BalloonTextChar"/>
    <w:uiPriority w:val="99"/>
    <w:semiHidden/>
    <w:unhideWhenUsed/>
    <w:rsid w:val="007B3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9550">
      <w:bodyDiv w:val="1"/>
      <w:marLeft w:val="0"/>
      <w:marRight w:val="0"/>
      <w:marTop w:val="0"/>
      <w:marBottom w:val="0"/>
      <w:divBdr>
        <w:top w:val="none" w:sz="0" w:space="0" w:color="auto"/>
        <w:left w:val="none" w:sz="0" w:space="0" w:color="auto"/>
        <w:bottom w:val="none" w:sz="0" w:space="0" w:color="auto"/>
        <w:right w:val="none" w:sz="0" w:space="0" w:color="auto"/>
      </w:divBdr>
    </w:div>
    <w:div w:id="165050758">
      <w:bodyDiv w:val="1"/>
      <w:marLeft w:val="0"/>
      <w:marRight w:val="0"/>
      <w:marTop w:val="0"/>
      <w:marBottom w:val="0"/>
      <w:divBdr>
        <w:top w:val="none" w:sz="0" w:space="0" w:color="auto"/>
        <w:left w:val="none" w:sz="0" w:space="0" w:color="auto"/>
        <w:bottom w:val="none" w:sz="0" w:space="0" w:color="auto"/>
        <w:right w:val="none" w:sz="0" w:space="0" w:color="auto"/>
      </w:divBdr>
    </w:div>
    <w:div w:id="209004308">
      <w:bodyDiv w:val="1"/>
      <w:marLeft w:val="0"/>
      <w:marRight w:val="0"/>
      <w:marTop w:val="0"/>
      <w:marBottom w:val="0"/>
      <w:divBdr>
        <w:top w:val="none" w:sz="0" w:space="0" w:color="auto"/>
        <w:left w:val="none" w:sz="0" w:space="0" w:color="auto"/>
        <w:bottom w:val="none" w:sz="0" w:space="0" w:color="auto"/>
        <w:right w:val="none" w:sz="0" w:space="0" w:color="auto"/>
      </w:divBdr>
    </w:div>
    <w:div w:id="228659126">
      <w:bodyDiv w:val="1"/>
      <w:marLeft w:val="0"/>
      <w:marRight w:val="0"/>
      <w:marTop w:val="0"/>
      <w:marBottom w:val="0"/>
      <w:divBdr>
        <w:top w:val="none" w:sz="0" w:space="0" w:color="auto"/>
        <w:left w:val="none" w:sz="0" w:space="0" w:color="auto"/>
        <w:bottom w:val="none" w:sz="0" w:space="0" w:color="auto"/>
        <w:right w:val="none" w:sz="0" w:space="0" w:color="auto"/>
      </w:divBdr>
    </w:div>
    <w:div w:id="427625149">
      <w:bodyDiv w:val="1"/>
      <w:marLeft w:val="0"/>
      <w:marRight w:val="0"/>
      <w:marTop w:val="0"/>
      <w:marBottom w:val="0"/>
      <w:divBdr>
        <w:top w:val="none" w:sz="0" w:space="0" w:color="auto"/>
        <w:left w:val="none" w:sz="0" w:space="0" w:color="auto"/>
        <w:bottom w:val="none" w:sz="0" w:space="0" w:color="auto"/>
        <w:right w:val="none" w:sz="0" w:space="0" w:color="auto"/>
      </w:divBdr>
    </w:div>
    <w:div w:id="560405997">
      <w:bodyDiv w:val="1"/>
      <w:marLeft w:val="0"/>
      <w:marRight w:val="0"/>
      <w:marTop w:val="0"/>
      <w:marBottom w:val="0"/>
      <w:divBdr>
        <w:top w:val="none" w:sz="0" w:space="0" w:color="auto"/>
        <w:left w:val="none" w:sz="0" w:space="0" w:color="auto"/>
        <w:bottom w:val="none" w:sz="0" w:space="0" w:color="auto"/>
        <w:right w:val="none" w:sz="0" w:space="0" w:color="auto"/>
      </w:divBdr>
    </w:div>
    <w:div w:id="597907076">
      <w:bodyDiv w:val="1"/>
      <w:marLeft w:val="0"/>
      <w:marRight w:val="0"/>
      <w:marTop w:val="0"/>
      <w:marBottom w:val="0"/>
      <w:divBdr>
        <w:top w:val="none" w:sz="0" w:space="0" w:color="auto"/>
        <w:left w:val="none" w:sz="0" w:space="0" w:color="auto"/>
        <w:bottom w:val="none" w:sz="0" w:space="0" w:color="auto"/>
        <w:right w:val="none" w:sz="0" w:space="0" w:color="auto"/>
      </w:divBdr>
    </w:div>
    <w:div w:id="963343732">
      <w:bodyDiv w:val="1"/>
      <w:marLeft w:val="0"/>
      <w:marRight w:val="0"/>
      <w:marTop w:val="0"/>
      <w:marBottom w:val="0"/>
      <w:divBdr>
        <w:top w:val="none" w:sz="0" w:space="0" w:color="auto"/>
        <w:left w:val="none" w:sz="0" w:space="0" w:color="auto"/>
        <w:bottom w:val="none" w:sz="0" w:space="0" w:color="auto"/>
        <w:right w:val="none" w:sz="0" w:space="0" w:color="auto"/>
      </w:divBdr>
    </w:div>
    <w:div w:id="1069961438">
      <w:bodyDiv w:val="1"/>
      <w:marLeft w:val="0"/>
      <w:marRight w:val="0"/>
      <w:marTop w:val="0"/>
      <w:marBottom w:val="0"/>
      <w:divBdr>
        <w:top w:val="none" w:sz="0" w:space="0" w:color="auto"/>
        <w:left w:val="none" w:sz="0" w:space="0" w:color="auto"/>
        <w:bottom w:val="none" w:sz="0" w:space="0" w:color="auto"/>
        <w:right w:val="none" w:sz="0" w:space="0" w:color="auto"/>
      </w:divBdr>
    </w:div>
    <w:div w:id="1409421210">
      <w:bodyDiv w:val="1"/>
      <w:marLeft w:val="0"/>
      <w:marRight w:val="0"/>
      <w:marTop w:val="0"/>
      <w:marBottom w:val="0"/>
      <w:divBdr>
        <w:top w:val="none" w:sz="0" w:space="0" w:color="auto"/>
        <w:left w:val="none" w:sz="0" w:space="0" w:color="auto"/>
        <w:bottom w:val="none" w:sz="0" w:space="0" w:color="auto"/>
        <w:right w:val="none" w:sz="0" w:space="0" w:color="auto"/>
      </w:divBdr>
    </w:div>
    <w:div w:id="1469931012">
      <w:bodyDiv w:val="1"/>
      <w:marLeft w:val="0"/>
      <w:marRight w:val="0"/>
      <w:marTop w:val="0"/>
      <w:marBottom w:val="0"/>
      <w:divBdr>
        <w:top w:val="none" w:sz="0" w:space="0" w:color="auto"/>
        <w:left w:val="none" w:sz="0" w:space="0" w:color="auto"/>
        <w:bottom w:val="none" w:sz="0" w:space="0" w:color="auto"/>
        <w:right w:val="none" w:sz="0" w:space="0" w:color="auto"/>
      </w:divBdr>
    </w:div>
    <w:div w:id="1530992488">
      <w:bodyDiv w:val="1"/>
      <w:marLeft w:val="0"/>
      <w:marRight w:val="0"/>
      <w:marTop w:val="0"/>
      <w:marBottom w:val="0"/>
      <w:divBdr>
        <w:top w:val="none" w:sz="0" w:space="0" w:color="auto"/>
        <w:left w:val="none" w:sz="0" w:space="0" w:color="auto"/>
        <w:bottom w:val="none" w:sz="0" w:space="0" w:color="auto"/>
        <w:right w:val="none" w:sz="0" w:space="0" w:color="auto"/>
      </w:divBdr>
    </w:div>
    <w:div w:id="1647120801">
      <w:bodyDiv w:val="1"/>
      <w:marLeft w:val="0"/>
      <w:marRight w:val="0"/>
      <w:marTop w:val="0"/>
      <w:marBottom w:val="0"/>
      <w:divBdr>
        <w:top w:val="none" w:sz="0" w:space="0" w:color="auto"/>
        <w:left w:val="none" w:sz="0" w:space="0" w:color="auto"/>
        <w:bottom w:val="none" w:sz="0" w:space="0" w:color="auto"/>
        <w:right w:val="none" w:sz="0" w:space="0" w:color="auto"/>
      </w:divBdr>
    </w:div>
    <w:div w:id="1819691246">
      <w:bodyDiv w:val="1"/>
      <w:marLeft w:val="0"/>
      <w:marRight w:val="0"/>
      <w:marTop w:val="0"/>
      <w:marBottom w:val="0"/>
      <w:divBdr>
        <w:top w:val="none" w:sz="0" w:space="0" w:color="auto"/>
        <w:left w:val="none" w:sz="0" w:space="0" w:color="auto"/>
        <w:bottom w:val="none" w:sz="0" w:space="0" w:color="auto"/>
        <w:right w:val="none" w:sz="0" w:space="0" w:color="auto"/>
      </w:divBdr>
    </w:div>
    <w:div w:id="1948193713">
      <w:bodyDiv w:val="1"/>
      <w:marLeft w:val="0"/>
      <w:marRight w:val="0"/>
      <w:marTop w:val="0"/>
      <w:marBottom w:val="0"/>
      <w:divBdr>
        <w:top w:val="none" w:sz="0" w:space="0" w:color="auto"/>
        <w:left w:val="none" w:sz="0" w:space="0" w:color="auto"/>
        <w:bottom w:val="none" w:sz="0" w:space="0" w:color="auto"/>
        <w:right w:val="none" w:sz="0" w:space="0" w:color="auto"/>
      </w:divBdr>
    </w:div>
    <w:div w:id="2071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ic.Buehlmann@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ina.pinedo\AppData\Local\Microsoft\Windows\INetCache\Content.Outlook\HHCWQ2GG\PAIMI%20Chart%20for%20FY21%20Fact%20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88407699037624E-2"/>
          <c:y val="0.14663360073206175"/>
          <c:w val="0.5575393700787401"/>
          <c:h val="0.68611348890361512"/>
        </c:manualLayout>
      </c:layout>
      <c:lineChart>
        <c:grouping val="standard"/>
        <c:varyColors val="0"/>
        <c:ser>
          <c:idx val="0"/>
          <c:order val="0"/>
          <c:tx>
            <c:strRef>
              <c:f>Sheet1!$A$4</c:f>
              <c:strCache>
                <c:ptCount val="1"/>
                <c:pt idx="0">
                  <c:v>Appropriations</c:v>
                </c:pt>
              </c:strCache>
            </c:strRef>
          </c:tx>
          <c:spPr>
            <a:ln w="38100" cap="flat" cmpd="dbl" algn="ctr">
              <a:solidFill>
                <a:schemeClr val="accent1"/>
              </a:solidFill>
              <a:miter lim="800000"/>
            </a:ln>
            <a:effectLst/>
          </c:spPr>
          <c:marker>
            <c:symbol val="none"/>
          </c:marker>
          <c:cat>
            <c:numRef>
              <c:f>Sheet1!$B$3:$N$3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Sheet1!$B$4:$N$4</c:f>
              <c:numCache>
                <c:formatCode>General</c:formatCode>
                <c:ptCount val="13"/>
                <c:pt idx="0">
                  <c:v>34.880000000000003</c:v>
                </c:pt>
                <c:pt idx="1">
                  <c:v>35.880000000000003</c:v>
                </c:pt>
                <c:pt idx="2">
                  <c:v>36.380000000000003</c:v>
                </c:pt>
                <c:pt idx="3">
                  <c:v>36.299999999999997</c:v>
                </c:pt>
                <c:pt idx="4">
                  <c:v>36.24</c:v>
                </c:pt>
                <c:pt idx="5">
                  <c:v>34.25</c:v>
                </c:pt>
                <c:pt idx="6">
                  <c:v>36.24</c:v>
                </c:pt>
                <c:pt idx="7">
                  <c:v>36.146000000000001</c:v>
                </c:pt>
                <c:pt idx="8">
                  <c:v>36.146000000000001</c:v>
                </c:pt>
                <c:pt idx="9">
                  <c:v>36.146000000000001</c:v>
                </c:pt>
                <c:pt idx="10">
                  <c:v>36.146000000000001</c:v>
                </c:pt>
                <c:pt idx="11">
                  <c:v>36.146000000000001</c:v>
                </c:pt>
                <c:pt idx="12">
                  <c:v>36.146000000000001</c:v>
                </c:pt>
              </c:numCache>
            </c:numRef>
          </c:val>
          <c:smooth val="0"/>
          <c:extLst>
            <c:ext xmlns:c16="http://schemas.microsoft.com/office/drawing/2014/chart" uri="{C3380CC4-5D6E-409C-BE32-E72D297353CC}">
              <c16:uniqueId val="{00000000-9E54-46ED-B7B2-2289959935AF}"/>
            </c:ext>
          </c:extLst>
        </c:ser>
        <c:ser>
          <c:idx val="1"/>
          <c:order val="1"/>
          <c:tx>
            <c:strRef>
              <c:f>Sheet1!$A$5</c:f>
              <c:strCache>
                <c:ptCount val="1"/>
                <c:pt idx="0">
                  <c:v>Adjusted for inflation</c:v>
                </c:pt>
              </c:strCache>
            </c:strRef>
          </c:tx>
          <c:spPr>
            <a:ln w="38100" cap="flat" cmpd="dbl" algn="ctr">
              <a:solidFill>
                <a:schemeClr val="accent2"/>
              </a:solidFill>
              <a:miter lim="800000"/>
            </a:ln>
            <a:effectLst/>
          </c:spPr>
          <c:marker>
            <c:symbol val="none"/>
          </c:marker>
          <c:cat>
            <c:numRef>
              <c:f>Sheet1!$B$3:$N$3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Sheet1!$B$5:$N$5</c:f>
              <c:numCache>
                <c:formatCode>General</c:formatCode>
                <c:ptCount val="13"/>
                <c:pt idx="0">
                  <c:v>34.880000000000003</c:v>
                </c:pt>
                <c:pt idx="1">
                  <c:v>34.914880000000004</c:v>
                </c:pt>
                <c:pt idx="2">
                  <c:v>35.857581760000002</c:v>
                </c:pt>
                <c:pt idx="3">
                  <c:v>36.3954454864</c:v>
                </c:pt>
                <c:pt idx="4">
                  <c:v>37.487308850992001</c:v>
                </c:pt>
                <c:pt idx="5">
                  <c:v>38.124593101458863</c:v>
                </c:pt>
                <c:pt idx="6">
                  <c:v>38.582088218676368</c:v>
                </c:pt>
                <c:pt idx="7">
                  <c:v>39.237983718393863</c:v>
                </c:pt>
                <c:pt idx="8">
                  <c:v>39.237983718393863</c:v>
                </c:pt>
                <c:pt idx="9">
                  <c:v>39.826553474169771</c:v>
                </c:pt>
                <c:pt idx="10">
                  <c:v>40.702737650601506</c:v>
                </c:pt>
                <c:pt idx="11">
                  <c:v>41.638900616565337</c:v>
                </c:pt>
                <c:pt idx="12">
                  <c:v>42.346699999999998</c:v>
                </c:pt>
              </c:numCache>
            </c:numRef>
          </c:val>
          <c:smooth val="0"/>
          <c:extLst>
            <c:ext xmlns:c16="http://schemas.microsoft.com/office/drawing/2014/chart" uri="{C3380CC4-5D6E-409C-BE32-E72D297353CC}">
              <c16:uniqueId val="{00000001-9E54-46ED-B7B2-2289959935AF}"/>
            </c:ext>
          </c:extLst>
        </c:ser>
        <c:dLbls>
          <c:showLegendKey val="0"/>
          <c:showVal val="0"/>
          <c:showCatName val="0"/>
          <c:showSerName val="0"/>
          <c:showPercent val="0"/>
          <c:showBubbleSize val="0"/>
        </c:dLbls>
        <c:smooth val="0"/>
        <c:axId val="89580288"/>
        <c:axId val="89581824"/>
      </c:lineChart>
      <c:catAx>
        <c:axId val="8958028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9581824"/>
        <c:crosses val="autoZero"/>
        <c:auto val="1"/>
        <c:lblAlgn val="ctr"/>
        <c:lblOffset val="100"/>
        <c:noMultiLvlLbl val="0"/>
      </c:catAx>
      <c:valAx>
        <c:axId val="89581824"/>
        <c:scaling>
          <c:orientation val="minMax"/>
          <c:max val="45"/>
          <c:min val="31"/>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9580288"/>
        <c:crosses val="autoZero"/>
        <c:crossBetween val="between"/>
      </c:valAx>
      <c:spPr>
        <a:noFill/>
        <a:ln>
          <a:noFill/>
        </a:ln>
        <a:effectLst/>
      </c:spPr>
    </c:plotArea>
    <c:legend>
      <c:legendPos val="t"/>
      <c:layout>
        <c:manualLayout>
          <c:xMode val="edge"/>
          <c:yMode val="edge"/>
          <c:x val="0.65356139661286305"/>
          <c:y val="0.12073490813648294"/>
          <c:w val="0.32411714236203565"/>
          <c:h val="0.416146485626304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25D22B-7D2A-4385-A241-93D18DC3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Disability Rights Network</dc:creator>
  <cp:keywords/>
  <dc:description/>
  <cp:lastModifiedBy>Eric Buehlmann</cp:lastModifiedBy>
  <cp:revision>5</cp:revision>
  <cp:lastPrinted>2020-03-04T19:55:00Z</cp:lastPrinted>
  <dcterms:created xsi:type="dcterms:W3CDTF">2020-05-06T15:23:00Z</dcterms:created>
  <dcterms:modified xsi:type="dcterms:W3CDTF">2020-05-06T15:30:00Z</dcterms:modified>
</cp:coreProperties>
</file>